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Consideration of design viability part F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