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Application of stem principles and practices Part E</w:t>
      </w:r>
    </w:p>
    <w:p>
      <w:r>
        <w:t>STEM Principle for High-Priority Design Requirement #1</w:t>
      </w:r>
    </w:p>
    <w:p>
      <w:r>
        <w:t>STEM Concept: Micro-biology</w:t>
      </w:r>
    </w:p>
    <w:p>
      <w:r>
        <w:t>Describe how STEM concept applies directly to the specifics of your design:</w:t>
      </w:r>
    </w:p>
    <w:p>
      <w:r>
        <w:t>As our design is intended for bathrooms, it is exposed to microbiomes and prone to collection of bacteria</w:t>
      </w:r>
    </w:p>
    <w:p>
      <w:r>
        <w:t>Proposed Solution to STEM Principles and Practices (E2)</w:t>
      </w:r>
    </w:p>
    <w:p>
      <w:r>
        <w:t>STEM Principle for Design Solution #1</w:t>
      </w:r>
    </w:p>
    <w:p>
      <w:r>
        <w:t>STEM Concept: Microbiology</w:t>
      </w:r>
    </w:p>
    <w:p>
      <w:r>
        <w:t>Describe how STEM concept applies directly to the specifics of your solution:</w:t>
      </w:r>
    </w:p>
    <w:p>
      <w:r>
        <w:t>We utilized materials (cork and pvc) that demonstrate antibacterial properties.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