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6FC5" w14:textId="2120AC02" w:rsidR="00A82E31" w:rsidRDefault="00A82E31">
      <w:r>
        <w:rPr>
          <w:noProof/>
        </w:rPr>
        <w:lastRenderedPageBreak/>
        <w:drawing>
          <wp:inline distT="0" distB="0" distL="0" distR="0" wp14:anchorId="1D03CBA9" wp14:editId="35A8C5DF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B12" w14:textId="77777777" w:rsidR="00A82E31" w:rsidRDefault="00A82E31">
      <w:r>
        <w:br w:type="page"/>
      </w:r>
    </w:p>
    <w:p w14:paraId="52ABBA8E" w14:textId="1D3DA764" w:rsidR="00190CDB" w:rsidRDefault="00A82E31">
      <w:r w:rsidRPr="00A82E31">
        <w:lastRenderedPageBreak/>
        <w:t>information given by our experts and stakeholders about potential obstacles is important because it allows us, as a team, to create a viable solution to present to our consumer.</w:t>
      </w:r>
    </w:p>
    <w:sectPr w:rsidR="00190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CDB"/>
    <w:rsid w:val="00190CDB"/>
    <w:rsid w:val="00901ADA"/>
    <w:rsid w:val="00A8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92C1"/>
  <w15:docId w15:val="{77E99DF1-B4DC-4220-B52A-A485FC45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2025-07-02T18:20:00Z</dcterms:modified>
</cp:coreProperties>
</file>