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Clarification Response: Item 3, Bullet 4 (Page 32) – 60% Delivery Within 40 Working Days</w:t>
      </w:r>
    </w:p>
    <w:p/>
    <w:p>
      <w:r>
        <w:rPr>
          <w:b/>
        </w:rPr>
        <w:t>Prepared for: HWSETA SCM / Project Office</w:t>
        <w:br/>
      </w:r>
      <w:r>
        <w:rPr>
          <w:b/>
        </w:rPr>
        <w:t>Prepared by: Bitobit (Pty) Ltd</w:t>
        <w:br/>
      </w:r>
      <w:r>
        <w:rPr>
          <w:b/>
        </w:rPr>
        <w:t>Date: 06 October 2025</w:t>
        <w:br/>
      </w:r>
      <w:r>
        <w:rPr>
          <w:b/>
        </w:rPr>
        <w:t>RFB: HWSETA008-2025</w:t>
        <w:br/>
      </w:r>
    </w:p>
    <w:p/>
    <w:p>
      <w:pPr>
        <w:spacing w:after="160"/>
      </w:pPr>
      <w:r>
        <w:t>RFB Reference</w:t>
        <w:br/>
        <w:t>RFB Number: HWSETA008-2025</w:t>
        <w:br/>
        <w:t>Subject: Supplier to Provide Internet Lines for All HWSETA Offices</w:t>
        <w:br/>
        <w:t>Date: 06 October 2025</w:t>
        <w:br/>
        <w:t>Supplier: Bitobit (Pty) Ltd</w:t>
      </w:r>
    </w:p>
    <w:p>
      <w:pPr>
        <w:spacing w:after="160"/>
      </w:pPr>
      <w:r>
        <w:t>Purpose of this Document</w:t>
        <w:br/>
        <w:t>This document responds to the client’s clarification request on Part C, Item 3, bullet 4 (page 32) of the RFB — namely, how we calculated and will achieve **60% of project deliverables within 40 working days**. The plan below details our methodology, deliverables weighting, deployment schedule, resource plan, stock-and-staging approach, and governance model aligned to the RFB’s Terms of Reference (Part B).</w:t>
      </w:r>
    </w:p>
    <w:p/>
    <w:p>
      <w:pPr>
        <w:spacing w:after="160"/>
      </w:pPr>
      <w:r>
        <w:t>1) Context and Reference</w:t>
        <w:br/>
        <w:t>The RFB explicitly evaluates a comprehensive project plan containing: implementation plan, milestones, visual timelines, **60% delivery within 40 working days**, and resource allocation (Part C, p. 32). Bitobit’s approach is designed to meet this evaluative criterion by structuring a fast‑track, hybrid waterfall/agile rollout with clearly defined acceptance gates, supported by pre‑staged stock and nationwide field capacity.</w:t>
      </w:r>
    </w:p>
    <w:p/>
    <w:p>
      <w:pPr>
        <w:spacing w:after="160"/>
      </w:pPr>
      <w:r>
        <w:t>2) What Counts as “Deliverables” in Our Calculation</w:t>
        <w:br/>
        <w:t>“Deliverables” are traced directly to the Terms of Reference (Part B, Section 2) and include:</w:t>
        <w:br/>
        <w:t>• Dual internet links per site (two redundant links per site, installed at each server room, min. bandwidth per Section 3.2)</w:t>
        <w:br/>
        <w:t>• SD‑WAN integration with HWSETA’s existing FortiGate architecture (head‑office hub topology, failover logic, and visibility)</w:t>
        <w:br/>
        <w:t>• IPsec VPN tunnel management (secure, stable inter‑site encrypted connectivity integrated with SD‑WAN routing)</w:t>
        <w:br/>
        <w:t>• Hardware &amp; software supply and configuration (CPE routers, switches, modems; OEM/SITA equipment; updates)</w:t>
        <w:br/>
        <w:t>• 24/7 monitoring &amp; support (proactive monitoring, monthly reports, SLA‑based response)</w:t>
        <w:br/>
        <w:t>• Handover &amp; documentation (network diagrams, tunnel configs, change logs, contact matrix; warranty/support docs for routers)</w:t>
        <w:br/>
        <w:t>• Supply &amp; delivery of 4 LTE routers (uncapped 20 Mbps, preconfigured SIMs, deployed to satellite offices)</w:t>
        <w:br/>
        <w:t>• Resourcing (PM, Account Manager, Network Engineers, Helpdesk)</w:t>
      </w:r>
    </w:p>
    <w:p>
      <w:pPr>
        <w:spacing w:after="160"/>
      </w:pPr>
      <w:r>
        <w:t>These are implemented across the HWSETA site footprint with line‑speed targets as per Section 3.2 (Head Office, Midrand, Polokwane, Nelspruit, Durban, East London, Cape Town, Kimberley, Mafikeng, Bloemfontein), plus LTE‑enabled satellite offices.</w:t>
      </w:r>
    </w:p>
    <w:p/>
    <w:p>
      <w:pPr>
        <w:spacing w:after="160"/>
      </w:pPr>
      <w:r>
        <w:t>3) Deliverables Weighting Model (100%)</w:t>
        <w:br/>
        <w:t>To evidence how 60% is reached within 40 working days, Bitobit proposes a transparent, auditable weighting of deliverables aligned to the TOR scope:</w:t>
      </w:r>
    </w:p>
    <w:p>
      <w:pPr>
        <w:spacing w:after="160"/>
      </w:pPr>
      <w:r>
        <w:t>A. HQ SD‑WAN Hub Commissioning &amp; Templates .......................... 15%</w:t>
        <w:br/>
        <w:t xml:space="preserve">   • Core SD‑WAN overlay, policies, orchestrator logic, and base FortiGate hub configuration.</w:t>
        <w:br/>
        <w:t>B. Dual‑Link Commissioning Per Main Site (10 sites × 5%) ............ 50%</w:t>
        <w:br/>
        <w:t xml:space="preserve">   • Each main site achieves: primary and secondary links live; active/active failover configured; local internet breakout; routed over SD‑WAN; site acceptance test signed.</w:t>
        <w:br/>
        <w:t>C. LTE Routers: Supply &amp; Activation (4 units total) .......................... 5%</w:t>
        <w:br/>
        <w:t xml:space="preserve">   • Preconfigured, SIM‑activated, delivered to satellite offices and verified online.</w:t>
        <w:br/>
        <w:t>D. IPsec Tunnels &amp; Inter‑Site Security Policies ................................. 10%</w:t>
        <w:br/>
        <w:t xml:space="preserve">   • Tunnels established and validated for commissioned subset; full mesh completed by project end.</w:t>
        <w:br/>
        <w:t>E. Monitoring &amp; Reporting (NOC, dashboards, alerts) .................... 10%</w:t>
        <w:br/>
        <w:t xml:space="preserve">   • 24/7 monitoring live, monthly reporting pack templates, SLA thresholds.</w:t>
        <w:br/>
        <w:t>F. Handover Documentation (as‑built packs) .................................. 5%</w:t>
        <w:br/>
        <w:t>G. Governance &amp; Quality Assurance .............................................. 5%</w:t>
      </w:r>
    </w:p>
    <w:p>
      <w:pPr>
        <w:spacing w:after="160"/>
      </w:pPr>
      <w:r>
        <w:t>TOTAL .............................................................................................. 100%</w:t>
      </w:r>
    </w:p>
    <w:p/>
    <w:p>
      <w:pPr>
        <w:spacing w:after="160"/>
      </w:pPr>
      <w:r>
        <w:t>4) What We Complete by Day 40 (≈60%)</w:t>
        <w:br/>
        <w:t>The first 40 working days are used to front‑load the high‑impact elements that enable national rollout. Target state by Day 40:</w:t>
      </w:r>
    </w:p>
    <w:p>
      <w:pPr>
        <w:spacing w:after="160"/>
      </w:pPr>
      <w:r>
        <w:t>• A. HQ SD‑WAN Hub &amp; Templates ....................................... 15% (complete)</w:t>
        <w:br/>
        <w:t>• B. Dual‑Link Commissioning at 6 Main Sites (6 × 5%) .......... 30% (complete)</w:t>
        <w:br/>
        <w:t xml:space="preserve">  — Proposed Wave‑1 sites: Head Office (Bedfordview), Midrand, Durban, Cape Town, Bloemfontein, East London.</w:t>
        <w:br/>
        <w:t>• C. LTE Routers (4) Delivered, Activated ................................. 5% (complete)</w:t>
        <w:br/>
        <w:t>• D. IPsec Tunnels (initial subset live) ....................................... 5% (of 10% total)</w:t>
        <w:br/>
        <w:t>• E. Monitoring &amp; Reporting (Phase‑1 NOC live) ..................... 5% (of 10% total)</w:t>
        <w:br/>
        <w:t>• F. Handover (interim as‑built packs) ...................................... 2.5% (of 5% total)</w:t>
        <w:br/>
        <w:t>• G. Governance &amp; QA (initial audits, gates) .............................. 2.5% (of 5% total)</w:t>
      </w:r>
    </w:p>
    <w:p>
      <w:pPr>
        <w:spacing w:after="160"/>
      </w:pPr>
      <w:r>
        <w:t>Subtotal by Day 40: 15 + 30 + 5 + 5 + 5 + 2.5 + 2.5 = **60%**.</w:t>
        <w:br/>
        <w:t>The remaining 40% is completed in the second wave (Days 41–80): Polokwane, Nelspruit, Kimberley, Mafikeng, and final IPsec/monitoring/documentation close‑out.</w:t>
      </w:r>
    </w:p>
    <w:p/>
    <w:p>
      <w:pPr>
        <w:spacing w:after="160"/>
      </w:pPr>
      <w:r>
        <w:t>5) Deployment Methodology &amp; Why the 40‑Day Target is Realistic</w:t>
        <w:br/>
        <w:t>Methodology</w:t>
        <w:br/>
        <w:t>• Hybrid Waterfall/Agile with Rolling‑Wave Planning: fixed scope per site, iterative configuration templates, and weekly sprints for network policy refinements.</w:t>
        <w:br/>
        <w:t>• Parallel Work Streams: staging, core hub integration, and field installation run concurrently.</w:t>
        <w:br/>
        <w:t>• Quality Gates: each site passes standardized acceptance tests (redundancy/failover, throughput, latency/jitter/packet‑loss, VPN health).</w:t>
        <w:br/>
        <w:t>• Risk‑Controlled Change Windows: align cutovers with local site operations.</w:t>
      </w:r>
    </w:p>
    <w:p>
      <w:pPr>
        <w:spacing w:after="160"/>
      </w:pPr>
      <w:r>
        <w:t>Enablers</w:t>
        <w:br/>
        <w:t>• Stock on Hand: Bitobit carries OEM/SITA‑compliant hardware; no import lead times.</w:t>
        <w:br/>
        <w:t>• Pre‑Staging Lab: all CPEs and FortiGate configs templated; scripts push SD‑WAN/IPsec policies to nodes.</w:t>
        <w:br/>
        <w:t>• Regional Teams: field technicians in major metros minimize travel latency; standardized “install kits” reduce on‑site time to ~4 hours per link.</w:t>
        <w:br/>
        <w:t>• 24/7 NOC: immediate monitoring begins at time of commissioning; SLA timers enforced automatically.</w:t>
      </w:r>
    </w:p>
    <w:p>
      <w:pPr>
        <w:spacing w:after="160"/>
      </w:pPr>
      <w:r>
        <w:t>Outcomes</w:t>
        <w:br/>
        <w:t>• Early activation of the HQ hub unlocks immediate SD‑WAN visibility and secure overlay for Wave‑1 sites.</w:t>
        <w:br/>
        <w:t>• Two independent ISP links per site with active/active policies deliver resilience as required.</w:t>
        <w:br/>
        <w:t>• LTE routers provide business‑grade redundancy for satellite offices from Day 40 onward.</w:t>
      </w:r>
    </w:p>
    <w:p/>
    <w:p>
      <w:pPr>
        <w:spacing w:after="160"/>
      </w:pPr>
      <w:r>
        <w:t>6) Detailed Schedule, Milestones &amp; Dependencies (Working Days)</w:t>
        <w:br/>
        <w:t>Days 1–5   • Project kick‑off; confirm addresses &amp; access; finalize comms &amp; escalation matrix; freeze Wave‑1 schedule.</w:t>
        <w:br/>
        <w:t>Days 6–15  • Warehouse allocation; device labeling; gold‑image configs; SD‑WAN/IPsec templates; NOC dashboards.</w:t>
        <w:br/>
        <w:t>Days 16–20 • HQ Bedfordview integration; hub acceptance tests; enable orchestrator policies; begin NOC live monitoring.</w:t>
        <w:br/>
        <w:t>Days 21–30 • Wave‑1 site installs (Gauteng + KZN/WC/FS): Midrand, Durban, Cape Town. Commission dual links, tunnels, failover.</w:t>
        <w:br/>
        <w:t>Days 31–40 • Wave‑1 site installs complete: Bloemfontein, East London. LTE routers delivered &amp; activated. Interim as‑built packs.</w:t>
      </w:r>
    </w:p>
    <w:p>
      <w:pPr>
        <w:spacing w:after="160"/>
      </w:pPr>
      <w:r>
        <w:t>Milestones</w:t>
        <w:br/>
        <w:t>M0: Kick‑off complete (Day 5)</w:t>
        <w:br/>
        <w:t>M1: HQ hub live (Day 20)</w:t>
        <w:br/>
        <w:t>M2: First three Wave‑1 sites live (Day 30)</w:t>
        <w:br/>
        <w:t>M3: 60% national deliverables accepted (Day 40)</w:t>
        <w:br/>
        <w:t>M4: Remaining sites live (Day 80)</w:t>
        <w:br/>
        <w:t>M5: Project close‑out &amp; final documentation (Day 90)</w:t>
      </w:r>
    </w:p>
    <w:p>
      <w:pPr>
        <w:spacing w:after="160"/>
      </w:pPr>
      <w:r>
        <w:t>Key Dependencies from Client</w:t>
        <w:br/>
        <w:t>• Site access windows; rack space and power; address confirmations; named site contacts.</w:t>
        <w:br/>
        <w:t>• Change control approvals for on‑site work and after‑hours cutovers.</w:t>
        <w:br/>
        <w:t>• Timely sign‑offs on acceptance tests per site.</w:t>
      </w:r>
    </w:p>
    <w:p/>
    <w:p>
      <w:pPr>
        <w:spacing w:after="160"/>
      </w:pPr>
      <w:r>
        <w:t>7) Resource Plan</w:t>
        <w:br/>
        <w:t>Role                     FTE  Coverage</w:t>
        <w:br/>
        <w:t>Project Manager          1    Overall delivery, schedule, risk &amp; stakeholder mgmt</w:t>
        <w:br/>
        <w:t>Account Manager          1    Commercials, escalations, monthly service reviews</w:t>
        <w:br/>
        <w:t>Network Engineers        4    Regional deployment &amp; SD‑WAN/IPsec configuration</w:t>
        <w:br/>
        <w:t>Helpdesk/NOC (24/7)      3    Three shifts for continuous monitoring and SLA response</w:t>
        <w:br/>
        <w:t>Field Technicians        8    Nationwide on‑site installation and handover</w:t>
      </w:r>
    </w:p>
    <w:p>
      <w:pPr>
        <w:spacing w:after="160"/>
      </w:pPr>
      <w:r>
        <w:t>Escalation Ladder</w:t>
        <w:br/>
        <w:t>• Priority 1/2 incidents – immediate NOC engagement; engineer on site within SLA; PM and Account Manager notified.</w:t>
        <w:br/>
        <w:t>• Monthly service reviews and reporting per SLA (uptime, latency, jitter, packet loss, incidents, maintenance windows).</w:t>
      </w:r>
    </w:p>
    <w:p/>
    <w:p>
      <w:pPr>
        <w:spacing w:after="160"/>
      </w:pPr>
      <w:r>
        <w:t>8) Acceptance Testing &amp; Reporting</w:t>
        <w:br/>
        <w:t>Acceptance Criteria per Site</w:t>
        <w:br/>
        <w:t>• Primary and secondary links pass throughput tests; active/active failover validated.</w:t>
        <w:br/>
        <w:t>• SD‑WAN overlay routes traffic correctly; policy‑based path selection and health probes verified.</w:t>
        <w:br/>
        <w:t>• IPsec tunnel stability; packet‑loss and jitter thresholds achieved; latency within targets.</w:t>
        <w:br/>
        <w:t>• Local internet breakout functional; security policies applied.</w:t>
        <w:br/>
        <w:t>• Monitoring &amp; alerting visible in NOC; tickets integrated to helpdesk.</w:t>
      </w:r>
    </w:p>
    <w:p>
      <w:pPr>
        <w:spacing w:after="160"/>
      </w:pPr>
      <w:r>
        <w:t>Reporting</w:t>
        <w:br/>
        <w:t>• From Day 1 of each site go‑live, the NOC publishes availability and performance stats. Monthly SLA reports include uptime, latency, jitter, packet loss, tunnel health, incident logs, bandwidth usage, maintenance/change records, and outage root‑causes.</w:t>
      </w:r>
    </w:p>
    <w:p/>
    <w:p>
      <w:pPr>
        <w:spacing w:after="160"/>
      </w:pPr>
      <w:r>
        <w:t>9) Risk &amp; Mitigation</w:t>
        <w:br/>
        <w:t>• Access Delays — Mitigation: pre‑booked windows; backup dates; remote pre‑staging to compress on‑site work.</w:t>
        <w:br/>
        <w:t>• Fibre Availability Constraints — Mitigation: where dual fibre not feasible, deploy wireless/fixed‑LTE fallback in line with TOR requirements; document exceptions and uplift plan.</w:t>
        <w:br/>
        <w:t>• Change Freeze Periods — Mitigation: align waves with site calendars; after‑hours cutovers; rollback plan; emergency LTE fallbacks.</w:t>
        <w:br/>
        <w:t>• Configuration Drift — Mitigation: centralized templates; change control; daily config backups; peer review before push.</w:t>
      </w:r>
    </w:p>
    <w:p/>
    <w:p>
      <w:pPr>
        <w:spacing w:after="160"/>
      </w:pPr>
      <w:r>
        <w:t>10) Conclusion</w:t>
        <w:br/>
        <w:t>By combining: (1) a transparent deliverables‑weighting model tied to the TOR, (2) front‑loaded HQ hub and six‑site commissioning, (3) LTE readiness for satellites, and (4) live NOC monitoring and governance, Bitobit will achieve **60% of total deliverables within the first 40 working days**. The remaining sites and final documentation are completed by Day 80–90, ensuring full compliance and a robust nationwide network.</w:t>
      </w:r>
    </w:p>
    <w:p/>
    <w:tbl>
      <w:tblPr>
        <w:tblStyle w:val="LightList-Accent1"/>
        <w:tblW w:type="auto" w:w="0"/>
        <w:tblLook w:firstColumn="1" w:firstRow="1" w:lastColumn="0" w:lastRow="0" w:noHBand="0" w:noVBand="1" w:val="04A0"/>
      </w:tblPr>
      <w:tblGrid>
        <w:gridCol w:w="4320"/>
        <w:gridCol w:w="4320"/>
      </w:tblGrid>
      <w:tr>
        <w:tc>
          <w:tcPr>
            <w:tcW w:type="dxa" w:w="4320"/>
          </w:tcPr>
          <w:p>
            <w:r>
              <w:t>A. HQ SD‑WAN Hub Commissioning &amp; Templates</w:t>
            </w:r>
          </w:p>
        </w:tc>
        <w:tc>
          <w:tcPr>
            <w:tcW w:type="dxa" w:w="4320"/>
          </w:tcPr>
          <w:p>
            <w:r>
              <w:t>15%</w:t>
            </w:r>
          </w:p>
        </w:tc>
      </w:tr>
      <w:tr>
        <w:tc>
          <w:tcPr>
            <w:tcW w:type="dxa" w:w="4320"/>
          </w:tcPr>
          <w:p>
            <w:r>
              <w:t>B. Dual‑Link Commissioning (10 main sites × 5% each)</w:t>
            </w:r>
          </w:p>
        </w:tc>
        <w:tc>
          <w:tcPr>
            <w:tcW w:type="dxa" w:w="4320"/>
          </w:tcPr>
          <w:p>
            <w:r>
              <w:t>50%</w:t>
            </w:r>
          </w:p>
        </w:tc>
      </w:tr>
      <w:tr>
        <w:tc>
          <w:tcPr>
            <w:tcW w:type="dxa" w:w="4320"/>
          </w:tcPr>
          <w:p>
            <w:r>
              <w:t>C. LTE Routers (4 units) – supply &amp; activation</w:t>
            </w:r>
          </w:p>
        </w:tc>
        <w:tc>
          <w:tcPr>
            <w:tcW w:type="dxa" w:w="4320"/>
          </w:tcPr>
          <w:p>
            <w:r>
              <w:t>5%</w:t>
            </w:r>
          </w:p>
        </w:tc>
      </w:tr>
      <w:tr>
        <w:tc>
          <w:tcPr>
            <w:tcW w:type="dxa" w:w="4320"/>
          </w:tcPr>
          <w:p>
            <w:r>
              <w:t>D. IPsec Tunnels &amp; Inter‑Site Security Policies</w:t>
            </w:r>
          </w:p>
        </w:tc>
        <w:tc>
          <w:tcPr>
            <w:tcW w:type="dxa" w:w="4320"/>
          </w:tcPr>
          <w:p>
            <w:r>
              <w:t>10%</w:t>
            </w:r>
          </w:p>
        </w:tc>
      </w:tr>
      <w:tr>
        <w:tc>
          <w:tcPr>
            <w:tcW w:type="dxa" w:w="4320"/>
          </w:tcPr>
          <w:p>
            <w:r>
              <w:t>E. Monitoring &amp; Reporting (NOC, dashboards, alerts)</w:t>
            </w:r>
          </w:p>
        </w:tc>
        <w:tc>
          <w:tcPr>
            <w:tcW w:type="dxa" w:w="4320"/>
          </w:tcPr>
          <w:p>
            <w:r>
              <w:t>10%</w:t>
            </w:r>
          </w:p>
        </w:tc>
      </w:tr>
      <w:tr>
        <w:tc>
          <w:tcPr>
            <w:tcW w:type="dxa" w:w="4320"/>
          </w:tcPr>
          <w:p>
            <w:r>
              <w:t>F. Handover Documentation (as‑built packs)</w:t>
            </w:r>
          </w:p>
        </w:tc>
        <w:tc>
          <w:tcPr>
            <w:tcW w:type="dxa" w:w="4320"/>
          </w:tcPr>
          <w:p>
            <w:r>
              <w:t>5%</w:t>
            </w:r>
          </w:p>
        </w:tc>
      </w:tr>
      <w:tr>
        <w:tc>
          <w:tcPr>
            <w:tcW w:type="dxa" w:w="4320"/>
          </w:tcPr>
          <w:p>
            <w:r>
              <w:t>G. Governance &amp; Quality Assurance</w:t>
            </w:r>
          </w:p>
        </w:tc>
        <w:tc>
          <w:tcPr>
            <w:tcW w:type="dxa" w:w="4320"/>
          </w:tcPr>
          <w:p>
            <w:r>
              <w:t>5%</w:t>
            </w:r>
          </w:p>
        </w:tc>
      </w:tr>
      <w:tr>
        <w:tc>
          <w:tcPr>
            <w:tcW w:type="dxa" w:w="4320"/>
          </w:tcPr>
          <w:p>
            <w:r>
              <w:t>TOTAL</w:t>
            </w:r>
          </w:p>
        </w:tc>
        <w:tc>
          <w:tcPr>
            <w:tcW w:type="dxa" w:w="4320"/>
          </w:tcPr>
          <w:p>
            <w:r>
              <w:t>100%</w:t>
            </w:r>
          </w:p>
        </w:tc>
      </w:tr>
    </w:tbl>
    <w:p/>
    <w:p>
      <w:r>
        <w:t>Target by Day 40: A (15%) + B (6 sites = 30%) + C (5%) + D (5%) + E (5%) + F (2.5%) + G (2.5%) = 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