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CA4" w:rsidRDefault="004D61C4" w:rsidP="007460C1">
      <w:pPr>
        <w:pStyle w:val="Heading1"/>
        <w:jc w:val="center"/>
      </w:pPr>
      <w:r w:rsidRPr="007460C1">
        <w:rPr>
          <w:color w:val="7030A0"/>
        </w:rPr>
        <w:t xml:space="preserve">Fitzroy NRM Region K-Factor dataset – </w:t>
      </w:r>
      <w:r w:rsidRPr="007460C1">
        <w:rPr>
          <w:rStyle w:val="Emphasis"/>
          <w:color w:val="7030A0"/>
        </w:rPr>
        <w:t>Methodology</w:t>
      </w:r>
    </w:p>
    <w:p w:rsidR="004D61C4" w:rsidRDefault="004D61C4" w:rsidP="000F67F8">
      <w:pPr>
        <w:jc w:val="center"/>
      </w:pPr>
      <w:r>
        <w:t>Author: Peter Zund</w:t>
      </w:r>
      <w:r w:rsidR="000F67F8">
        <w:tab/>
      </w:r>
      <w:r>
        <w:t xml:space="preserve">Date: </w:t>
      </w:r>
      <w:r>
        <w:fldChar w:fldCharType="begin"/>
      </w:r>
      <w:r>
        <w:instrText xml:space="preserve"> DATE \@ "d MMMM yyyy" </w:instrText>
      </w:r>
      <w:r>
        <w:fldChar w:fldCharType="separate"/>
      </w:r>
      <w:r w:rsidR="00530656">
        <w:rPr>
          <w:noProof/>
        </w:rPr>
        <w:t>3 November 2017</w:t>
      </w:r>
      <w:r>
        <w:fldChar w:fldCharType="end"/>
      </w:r>
    </w:p>
    <w:p w:rsidR="000F67F8" w:rsidRDefault="000F67F8" w:rsidP="007460C1">
      <w:pPr>
        <w:pStyle w:val="Heading2"/>
        <w:rPr>
          <w:color w:val="7030A0"/>
        </w:rPr>
      </w:pPr>
    </w:p>
    <w:p w:rsidR="004D61C4" w:rsidRPr="007460C1" w:rsidRDefault="004D61C4" w:rsidP="007460C1">
      <w:pPr>
        <w:pStyle w:val="Heading2"/>
        <w:rPr>
          <w:color w:val="7030A0"/>
        </w:rPr>
      </w:pPr>
      <w:r w:rsidRPr="007460C1">
        <w:rPr>
          <w:color w:val="7030A0"/>
        </w:rPr>
        <w:t>Intent of product</w:t>
      </w:r>
    </w:p>
    <w:p w:rsidR="004D61C4" w:rsidRDefault="000F67F8">
      <w:r>
        <w:t>D</w:t>
      </w:r>
      <w:r w:rsidR="004D61C4">
        <w:t>ataset that represents the K factor of the USLE at a 90m resolution for the Fitzroy NRM Region for use in P2R models.</w:t>
      </w:r>
    </w:p>
    <w:p w:rsidR="007460C1" w:rsidRDefault="007460C1" w:rsidP="007460C1">
      <w:pPr>
        <w:pStyle w:val="Heading2"/>
        <w:rPr>
          <w:color w:val="7030A0"/>
        </w:rPr>
      </w:pPr>
    </w:p>
    <w:p w:rsidR="004D61C4" w:rsidRPr="007460C1" w:rsidRDefault="004D61C4" w:rsidP="007460C1">
      <w:pPr>
        <w:pStyle w:val="Heading2"/>
        <w:rPr>
          <w:color w:val="7030A0"/>
        </w:rPr>
      </w:pPr>
      <w:r w:rsidRPr="007460C1">
        <w:rPr>
          <w:color w:val="7030A0"/>
        </w:rPr>
        <w:t>Product authorisation</w:t>
      </w:r>
    </w:p>
    <w:p w:rsidR="004D61C4" w:rsidRDefault="004D61C4">
      <w:r>
        <w:t xml:space="preserve">This product was a requirement of the Reef Water Quality Science Program project RP112G </w:t>
      </w:r>
      <w:r w:rsidRPr="007460C1">
        <w:rPr>
          <w:i/>
        </w:rPr>
        <w:t>Mapping soil erodibility in the Fitzroy basin</w:t>
      </w:r>
      <w:r>
        <w:t>. Milestone 11 – expected completion September 2017.</w:t>
      </w:r>
    </w:p>
    <w:p w:rsidR="007460C1" w:rsidRDefault="007460C1" w:rsidP="007460C1">
      <w:pPr>
        <w:pStyle w:val="Heading2"/>
        <w:rPr>
          <w:color w:val="7030A0"/>
        </w:rPr>
      </w:pPr>
    </w:p>
    <w:p w:rsidR="004D61C4" w:rsidRDefault="004D61C4" w:rsidP="007460C1">
      <w:pPr>
        <w:pStyle w:val="Heading2"/>
      </w:pPr>
      <w:r w:rsidRPr="007460C1">
        <w:rPr>
          <w:color w:val="7030A0"/>
        </w:rPr>
        <w:t>What does the dataset (cell or grid) value represent?</w:t>
      </w:r>
    </w:p>
    <w:p w:rsidR="001A5764" w:rsidRDefault="001A5764">
      <w:r>
        <w:t xml:space="preserve">The calculated </w:t>
      </w:r>
      <w:r w:rsidR="004D61C4">
        <w:t xml:space="preserve">K factor </w:t>
      </w:r>
      <w:r>
        <w:t xml:space="preserve">(surface soil erodibility (0-15cm depth)) </w:t>
      </w:r>
      <w:r w:rsidR="004D61C4">
        <w:t>of the USLE</w:t>
      </w:r>
      <w:r>
        <w:t xml:space="preserve"> equation.</w:t>
      </w:r>
    </w:p>
    <w:p w:rsidR="007460C1" w:rsidRDefault="007460C1" w:rsidP="007460C1">
      <w:pPr>
        <w:pStyle w:val="Heading2"/>
        <w:rPr>
          <w:color w:val="7030A0"/>
        </w:rPr>
      </w:pPr>
    </w:p>
    <w:p w:rsidR="001A5764" w:rsidRPr="007460C1" w:rsidRDefault="001A5764" w:rsidP="007460C1">
      <w:pPr>
        <w:pStyle w:val="Heading2"/>
        <w:rPr>
          <w:color w:val="7030A0"/>
        </w:rPr>
      </w:pPr>
      <w:r w:rsidRPr="007460C1">
        <w:rPr>
          <w:color w:val="7030A0"/>
        </w:rPr>
        <w:t>Which pedotransfer function was used?</w:t>
      </w:r>
    </w:p>
    <w:p w:rsidR="004D61C4" w:rsidRDefault="001A5764">
      <w:r>
        <w:t xml:space="preserve">The </w:t>
      </w:r>
      <w:r w:rsidR="00530656">
        <w:t xml:space="preserve">original Wischmeier </w:t>
      </w:r>
      <w:r w:rsidR="00530656">
        <w:fldChar w:fldCharType="begin"/>
      </w:r>
      <w:r w:rsidR="00530656">
        <w:instrText>ADDIN RW.CITE{{223 Wischmeier, W.H. 1978/a;}}</w:instrText>
      </w:r>
      <w:r w:rsidR="00530656">
        <w:fldChar w:fldCharType="separate"/>
      </w:r>
      <w:r w:rsidR="00444CEC">
        <w:t>(1978)</w:t>
      </w:r>
      <w:r w:rsidR="00530656">
        <w:fldChar w:fldCharType="end"/>
      </w:r>
      <w:r w:rsidR="00530656">
        <w:t xml:space="preserve"> </w:t>
      </w:r>
      <w:r>
        <w:t xml:space="preserve">function </w:t>
      </w:r>
      <w:r w:rsidR="00530656">
        <w:t xml:space="preserve">as shown </w:t>
      </w:r>
      <w:r>
        <w:t xml:space="preserve">in the Brown Book </w:t>
      </w:r>
      <w:r>
        <w:fldChar w:fldCharType="begin"/>
      </w:r>
      <w:r>
        <w:instrText>ADDIN RW.CITE{{435 Rosewell, C.J. 2002}}</w:instrText>
      </w:r>
      <w:r>
        <w:fldChar w:fldCharType="separate"/>
      </w:r>
      <w:r w:rsidR="00444CEC">
        <w:rPr>
          <w:rFonts w:ascii="Calibri" w:eastAsia="Times New Roman" w:hAnsi="Calibri" w:cs="Calibri"/>
        </w:rPr>
        <w:t>(</w:t>
      </w:r>
      <w:proofErr w:type="spellStart"/>
      <w:r w:rsidR="00444CEC">
        <w:rPr>
          <w:rFonts w:ascii="Calibri" w:eastAsia="Times New Roman" w:hAnsi="Calibri" w:cs="Calibri"/>
        </w:rPr>
        <w:t>Rosewell</w:t>
      </w:r>
      <w:proofErr w:type="spellEnd"/>
      <w:r w:rsidR="00444CEC">
        <w:rPr>
          <w:rFonts w:ascii="Calibri" w:eastAsia="Times New Roman" w:hAnsi="Calibri" w:cs="Calibri"/>
        </w:rPr>
        <w:t xml:space="preserve"> and Loch 2002)</w:t>
      </w:r>
      <w:r>
        <w:fldChar w:fldCharType="end"/>
      </w:r>
      <w:r>
        <w:t xml:space="preserve"> , </w:t>
      </w:r>
      <w:r w:rsidRPr="007460C1">
        <w:t>equation 28.2</w:t>
      </w:r>
      <w:r w:rsidR="00530656">
        <w:t xml:space="preserve"> combined with the sediment density adjustment outlined by </w:t>
      </w:r>
      <w:proofErr w:type="spellStart"/>
      <w:r w:rsidR="00530656">
        <w:t>Littleboy</w:t>
      </w:r>
      <w:bookmarkStart w:id="0" w:name="_GoBack"/>
      <w:bookmarkEnd w:id="0"/>
      <w:proofErr w:type="spellEnd"/>
      <w:r w:rsidR="00530656">
        <w:t xml:space="preserve"> </w:t>
      </w:r>
      <w:r w:rsidR="00530656">
        <w:fldChar w:fldCharType="begin"/>
      </w:r>
      <w:r w:rsidR="00530656">
        <w:instrText>ADDIN RW.CITE{{450 Littleboy, M. 1997/a;}}</w:instrText>
      </w:r>
      <w:r w:rsidR="00530656">
        <w:fldChar w:fldCharType="separate"/>
      </w:r>
      <w:r w:rsidR="00444CEC">
        <w:t>(1997)</w:t>
      </w:r>
      <w:r w:rsidR="00530656">
        <w:fldChar w:fldCharType="end"/>
      </w:r>
      <w:r w:rsidR="00530656">
        <w:t>.</w:t>
      </w:r>
    </w:p>
    <w:p w:rsidR="00530656" w:rsidRDefault="00530656" w:rsidP="007460C1">
      <w:pPr>
        <w:pStyle w:val="ListParagraph"/>
        <w:rPr>
          <w:i/>
          <w:sz w:val="20"/>
          <w:szCs w:val="20"/>
        </w:rPr>
      </w:pPr>
      <w:r>
        <w:rPr>
          <w:i/>
          <w:sz w:val="20"/>
          <w:szCs w:val="20"/>
        </w:rPr>
        <w:t>ASRIS equivalent code</w:t>
      </w:r>
    </w:p>
    <w:p w:rsidR="00530656" w:rsidRDefault="00530656" w:rsidP="007460C1">
      <w:pPr>
        <w:pStyle w:val="ListParagraph"/>
        <w:rPr>
          <w:i/>
          <w:sz w:val="20"/>
          <w:szCs w:val="20"/>
        </w:rPr>
      </w:pPr>
      <w:proofErr w:type="spellStart"/>
      <w:proofErr w:type="gramStart"/>
      <w:r w:rsidRPr="00530656">
        <w:rPr>
          <w:i/>
          <w:sz w:val="20"/>
          <w:szCs w:val="20"/>
        </w:rPr>
        <w:t>a$</w:t>
      </w:r>
      <w:proofErr w:type="gramEnd"/>
      <w:r w:rsidRPr="00530656">
        <w:rPr>
          <w:i/>
          <w:sz w:val="20"/>
          <w:szCs w:val="20"/>
        </w:rPr>
        <w:t>RAW</w:t>
      </w:r>
      <w:proofErr w:type="spellEnd"/>
      <w:r w:rsidRPr="00530656">
        <w:rPr>
          <w:i/>
          <w:sz w:val="20"/>
          <w:szCs w:val="20"/>
        </w:rPr>
        <w:t xml:space="preserve"> &lt;- (2.77*(10^-7)*(a$P125^1.14)*(12-a$OM))+(4.28*(10^-3)*(a$SS-2))+(3.29*(10^-3)*(a$PP-3))</w:t>
      </w:r>
    </w:p>
    <w:p w:rsidR="00530656" w:rsidRDefault="00530656" w:rsidP="007460C1">
      <w:pPr>
        <w:pStyle w:val="ListParagraph"/>
        <w:rPr>
          <w:i/>
          <w:sz w:val="20"/>
          <w:szCs w:val="20"/>
        </w:rPr>
      </w:pPr>
      <w:proofErr w:type="spellStart"/>
      <w:proofErr w:type="gramStart"/>
      <w:r w:rsidRPr="00530656">
        <w:rPr>
          <w:i/>
          <w:sz w:val="20"/>
          <w:szCs w:val="20"/>
        </w:rPr>
        <w:t>a$</w:t>
      </w:r>
      <w:proofErr w:type="gramEnd"/>
      <w:r w:rsidRPr="00530656">
        <w:rPr>
          <w:i/>
          <w:sz w:val="20"/>
          <w:szCs w:val="20"/>
        </w:rPr>
        <w:t>ADJ</w:t>
      </w:r>
      <w:proofErr w:type="spellEnd"/>
      <w:r w:rsidRPr="00530656">
        <w:rPr>
          <w:i/>
          <w:sz w:val="20"/>
          <w:szCs w:val="20"/>
        </w:rPr>
        <w:t xml:space="preserve"> &lt;- </w:t>
      </w:r>
      <w:proofErr w:type="spellStart"/>
      <w:r w:rsidRPr="00530656">
        <w:rPr>
          <w:i/>
          <w:sz w:val="20"/>
          <w:szCs w:val="20"/>
        </w:rPr>
        <w:t>a$RAW</w:t>
      </w:r>
      <w:proofErr w:type="spellEnd"/>
      <w:r w:rsidRPr="00530656">
        <w:rPr>
          <w:i/>
          <w:sz w:val="20"/>
          <w:szCs w:val="20"/>
        </w:rPr>
        <w:t>/(1.462+(0.048*(1.03259^(</w:t>
      </w:r>
      <w:proofErr w:type="spellStart"/>
      <w:r w:rsidRPr="00530656">
        <w:rPr>
          <w:i/>
          <w:sz w:val="20"/>
          <w:szCs w:val="20"/>
        </w:rPr>
        <w:t>a$FS+a$CS</w:t>
      </w:r>
      <w:proofErr w:type="spellEnd"/>
      <w:r w:rsidRPr="00530656">
        <w:rPr>
          <w:i/>
          <w:sz w:val="20"/>
          <w:szCs w:val="20"/>
        </w:rPr>
        <w:t>)))-1)</w:t>
      </w:r>
      <w:r>
        <w:rPr>
          <w:i/>
          <w:sz w:val="20"/>
          <w:szCs w:val="20"/>
        </w:rPr>
        <w:tab/>
      </w:r>
      <w:r>
        <w:rPr>
          <w:i/>
          <w:sz w:val="20"/>
          <w:szCs w:val="20"/>
        </w:rPr>
        <w:tab/>
        <w:t>Sediment density adjustment</w:t>
      </w:r>
    </w:p>
    <w:p w:rsidR="00530656" w:rsidRDefault="00530656" w:rsidP="007460C1">
      <w:pPr>
        <w:pStyle w:val="ListParagraph"/>
        <w:rPr>
          <w:i/>
          <w:sz w:val="20"/>
          <w:szCs w:val="20"/>
        </w:rPr>
      </w:pPr>
    </w:p>
    <w:p w:rsidR="00530656" w:rsidRDefault="00530656" w:rsidP="007460C1">
      <w:pPr>
        <w:pStyle w:val="ListParagraph"/>
        <w:rPr>
          <w:i/>
          <w:sz w:val="20"/>
          <w:szCs w:val="20"/>
        </w:rPr>
      </w:pPr>
      <w:r>
        <w:rPr>
          <w:i/>
          <w:sz w:val="20"/>
          <w:szCs w:val="20"/>
        </w:rPr>
        <w:t>Also original K for reference purposes</w:t>
      </w:r>
    </w:p>
    <w:p w:rsidR="001A5764" w:rsidRDefault="00EF712C" w:rsidP="007460C1">
      <w:pPr>
        <w:pStyle w:val="ListParagraph"/>
        <w:rPr>
          <w:i/>
          <w:sz w:val="20"/>
          <w:szCs w:val="20"/>
        </w:rPr>
      </w:pPr>
      <w:proofErr w:type="spellStart"/>
      <w:proofErr w:type="gramStart"/>
      <w:r w:rsidRPr="007460C1">
        <w:rPr>
          <w:i/>
          <w:sz w:val="20"/>
          <w:szCs w:val="20"/>
        </w:rPr>
        <w:t>a$</w:t>
      </w:r>
      <w:proofErr w:type="gramEnd"/>
      <w:r w:rsidRPr="007460C1">
        <w:rPr>
          <w:i/>
          <w:sz w:val="20"/>
          <w:szCs w:val="20"/>
        </w:rPr>
        <w:t>K</w:t>
      </w:r>
      <w:proofErr w:type="spellEnd"/>
      <w:r w:rsidRPr="007460C1">
        <w:rPr>
          <w:i/>
          <w:sz w:val="20"/>
          <w:szCs w:val="20"/>
        </w:rPr>
        <w:t xml:space="preserve"> &lt;- (2.766*(a$M^1.14)*(10^-7)*(12-a$OM))+(4.28*(10^-3)*(a$SS-2))+(3.28*(10^-3)*(a$PP-3))</w:t>
      </w:r>
    </w:p>
    <w:p w:rsidR="007460C1" w:rsidRPr="007460C1" w:rsidRDefault="007460C1" w:rsidP="007460C1">
      <w:pPr>
        <w:pStyle w:val="ListParagraph"/>
        <w:rPr>
          <w:sz w:val="20"/>
          <w:szCs w:val="20"/>
        </w:rPr>
      </w:pPr>
      <w:r w:rsidRPr="007460C1">
        <w:rPr>
          <w:sz w:val="20"/>
          <w:szCs w:val="20"/>
        </w:rPr>
        <w:t>Note: a$ - is the table name where the data is held</w:t>
      </w:r>
    </w:p>
    <w:p w:rsidR="00EF712C" w:rsidRDefault="00EF712C">
      <w:r>
        <w:t>Sub-functions used from the same reference were,</w:t>
      </w:r>
    </w:p>
    <w:p w:rsidR="00EF712C" w:rsidRDefault="00EF712C">
      <w:r w:rsidRPr="007460C1">
        <w:rPr>
          <w:b/>
        </w:rPr>
        <w:t>Particle size (M)</w:t>
      </w:r>
      <w:r w:rsidR="00530656">
        <w:t xml:space="preserve"> calculated using</w:t>
      </w:r>
    </w:p>
    <w:p w:rsidR="00530656" w:rsidRDefault="00530656" w:rsidP="007460C1">
      <w:pPr>
        <w:pStyle w:val="ListParagraph"/>
        <w:rPr>
          <w:i/>
          <w:sz w:val="20"/>
          <w:szCs w:val="20"/>
        </w:rPr>
      </w:pPr>
      <w:r>
        <w:rPr>
          <w:i/>
          <w:sz w:val="20"/>
          <w:szCs w:val="20"/>
        </w:rPr>
        <w:t>ASRIS equivalent code</w:t>
      </w:r>
    </w:p>
    <w:p w:rsidR="00530656" w:rsidRDefault="00530656" w:rsidP="007460C1">
      <w:pPr>
        <w:pStyle w:val="ListParagraph"/>
        <w:rPr>
          <w:i/>
          <w:sz w:val="20"/>
          <w:szCs w:val="20"/>
        </w:rPr>
      </w:pPr>
      <w:proofErr w:type="gramStart"/>
      <w:r w:rsidRPr="00530656">
        <w:rPr>
          <w:i/>
          <w:sz w:val="20"/>
          <w:szCs w:val="20"/>
        </w:rPr>
        <w:t>a$</w:t>
      </w:r>
      <w:proofErr w:type="gramEnd"/>
      <w:r w:rsidRPr="00530656">
        <w:rPr>
          <w:i/>
          <w:sz w:val="20"/>
          <w:szCs w:val="20"/>
        </w:rPr>
        <w:t>P125 &lt;- (</w:t>
      </w:r>
      <w:proofErr w:type="spellStart"/>
      <w:r w:rsidRPr="00530656">
        <w:rPr>
          <w:i/>
          <w:sz w:val="20"/>
          <w:szCs w:val="20"/>
        </w:rPr>
        <w:t>a$Clay</w:t>
      </w:r>
      <w:proofErr w:type="spellEnd"/>
      <w:r w:rsidRPr="00530656">
        <w:rPr>
          <w:i/>
          <w:sz w:val="20"/>
          <w:szCs w:val="20"/>
        </w:rPr>
        <w:t>+ a$Silt + (0.7*a$FS))*(100*</w:t>
      </w:r>
      <w:proofErr w:type="spellStart"/>
      <w:r w:rsidRPr="00530656">
        <w:rPr>
          <w:i/>
          <w:sz w:val="20"/>
          <w:szCs w:val="20"/>
        </w:rPr>
        <w:t>exp</w:t>
      </w:r>
      <w:proofErr w:type="spellEnd"/>
      <w:r w:rsidRPr="00530656">
        <w:rPr>
          <w:i/>
          <w:sz w:val="20"/>
          <w:szCs w:val="20"/>
        </w:rPr>
        <w:t>(-0.019*</w:t>
      </w:r>
      <w:proofErr w:type="spellStart"/>
      <w:r w:rsidRPr="00530656">
        <w:rPr>
          <w:i/>
          <w:sz w:val="20"/>
          <w:szCs w:val="20"/>
        </w:rPr>
        <w:t>a$Clay</w:t>
      </w:r>
      <w:proofErr w:type="spellEnd"/>
      <w:r w:rsidRPr="00530656">
        <w:rPr>
          <w:i/>
          <w:sz w:val="20"/>
          <w:szCs w:val="20"/>
        </w:rPr>
        <w:t>))</w:t>
      </w:r>
    </w:p>
    <w:p w:rsidR="00530656" w:rsidRDefault="00530656" w:rsidP="007460C1">
      <w:pPr>
        <w:pStyle w:val="ListParagraph"/>
        <w:rPr>
          <w:i/>
          <w:sz w:val="20"/>
          <w:szCs w:val="20"/>
        </w:rPr>
      </w:pPr>
    </w:p>
    <w:p w:rsidR="00530656" w:rsidRDefault="00530656" w:rsidP="00530656">
      <w:pPr>
        <w:rPr>
          <w:i/>
          <w:sz w:val="20"/>
          <w:szCs w:val="20"/>
        </w:rPr>
      </w:pPr>
      <w:r>
        <w:rPr>
          <w:i/>
          <w:sz w:val="20"/>
          <w:szCs w:val="20"/>
        </w:rPr>
        <w:t xml:space="preserve">Original M from </w:t>
      </w:r>
      <w:proofErr w:type="gramStart"/>
      <w:r>
        <w:t>equation  28.7</w:t>
      </w:r>
      <w:proofErr w:type="gramEnd"/>
      <w:r>
        <w:t xml:space="preserve"> </w:t>
      </w:r>
      <w:r>
        <w:fldChar w:fldCharType="begin"/>
      </w:r>
      <w:r>
        <w:instrText>ADDIN RW.CITE{{435 Rosewell, C.J. 2002}}</w:instrText>
      </w:r>
      <w:r>
        <w:fldChar w:fldCharType="separate"/>
      </w:r>
      <w:r w:rsidR="00444CEC">
        <w:rPr>
          <w:rFonts w:ascii="Calibri" w:eastAsia="Times New Roman" w:hAnsi="Calibri" w:cs="Calibri"/>
        </w:rPr>
        <w:t>(</w:t>
      </w:r>
      <w:proofErr w:type="spellStart"/>
      <w:r w:rsidR="00444CEC">
        <w:rPr>
          <w:rFonts w:ascii="Calibri" w:eastAsia="Times New Roman" w:hAnsi="Calibri" w:cs="Calibri"/>
        </w:rPr>
        <w:t>Rosewell</w:t>
      </w:r>
      <w:proofErr w:type="spellEnd"/>
      <w:r w:rsidR="00444CEC">
        <w:rPr>
          <w:rFonts w:ascii="Calibri" w:eastAsia="Times New Roman" w:hAnsi="Calibri" w:cs="Calibri"/>
        </w:rPr>
        <w:t xml:space="preserve"> and Loch 2002)</w:t>
      </w:r>
      <w:r>
        <w:fldChar w:fldCharType="end"/>
      </w:r>
    </w:p>
    <w:p w:rsidR="007460C1" w:rsidRPr="007460C1" w:rsidRDefault="007460C1" w:rsidP="007460C1">
      <w:pPr>
        <w:pStyle w:val="ListParagraph"/>
        <w:rPr>
          <w:i/>
          <w:sz w:val="20"/>
          <w:szCs w:val="20"/>
        </w:rPr>
      </w:pPr>
      <w:proofErr w:type="gramStart"/>
      <w:r w:rsidRPr="007460C1">
        <w:rPr>
          <w:i/>
          <w:sz w:val="20"/>
          <w:szCs w:val="20"/>
        </w:rPr>
        <w:t>a$</w:t>
      </w:r>
      <w:proofErr w:type="gramEnd"/>
      <w:r w:rsidRPr="007460C1">
        <w:rPr>
          <w:i/>
          <w:sz w:val="20"/>
          <w:szCs w:val="20"/>
        </w:rPr>
        <w:t>M &lt;- (a$Silt + (0.7*a$FS))*(100-a$Clay)</w:t>
      </w:r>
    </w:p>
    <w:p w:rsidR="007460C1" w:rsidRPr="007460C1" w:rsidRDefault="007460C1" w:rsidP="007460C1">
      <w:pPr>
        <w:pStyle w:val="ListParagraph"/>
        <w:rPr>
          <w:sz w:val="20"/>
          <w:szCs w:val="20"/>
        </w:rPr>
      </w:pPr>
      <w:r w:rsidRPr="007460C1">
        <w:rPr>
          <w:sz w:val="20"/>
          <w:szCs w:val="20"/>
        </w:rPr>
        <w:t xml:space="preserve">Note: Alternate equation 28.3 which is applied when Silt + Fine Sand exceeds 68% was not implemented. Only few SALI sites had &gt; 68% (Silt and Fine </w:t>
      </w:r>
      <w:proofErr w:type="gramStart"/>
      <w:r w:rsidRPr="007460C1">
        <w:rPr>
          <w:sz w:val="20"/>
          <w:szCs w:val="20"/>
        </w:rPr>
        <w:t>Sand%</w:t>
      </w:r>
      <w:proofErr w:type="gramEnd"/>
      <w:r w:rsidRPr="007460C1">
        <w:rPr>
          <w:sz w:val="20"/>
          <w:szCs w:val="20"/>
        </w:rPr>
        <w:t>).</w:t>
      </w:r>
    </w:p>
    <w:p w:rsidR="007460C1" w:rsidRDefault="007460C1">
      <w:r w:rsidRPr="007460C1">
        <w:rPr>
          <w:b/>
        </w:rPr>
        <w:t>Organic matter (OM)</w:t>
      </w:r>
      <w:r>
        <w:t xml:space="preserve"> calculated as </w:t>
      </w:r>
    </w:p>
    <w:p w:rsidR="004D61C4" w:rsidRPr="007460C1" w:rsidRDefault="007460C1" w:rsidP="007460C1">
      <w:pPr>
        <w:pStyle w:val="ListParagraph"/>
        <w:rPr>
          <w:i/>
          <w:sz w:val="20"/>
          <w:szCs w:val="20"/>
        </w:rPr>
      </w:pPr>
      <w:r w:rsidRPr="007460C1">
        <w:rPr>
          <w:i/>
          <w:sz w:val="20"/>
          <w:szCs w:val="20"/>
        </w:rPr>
        <w:t xml:space="preserve">1.72 * OC Walkley &amp; Black (6A1, </w:t>
      </w:r>
      <w:r w:rsidRPr="007460C1">
        <w:rPr>
          <w:i/>
          <w:sz w:val="20"/>
          <w:szCs w:val="20"/>
        </w:rPr>
        <w:fldChar w:fldCharType="begin"/>
      </w:r>
      <w:r w:rsidRPr="007460C1">
        <w:rPr>
          <w:i/>
          <w:sz w:val="20"/>
          <w:szCs w:val="20"/>
        </w:rPr>
        <w:instrText>ADDIN RW.CITE{{290 Rayment,G.E. 2010}}</w:instrText>
      </w:r>
      <w:r w:rsidRPr="007460C1">
        <w:rPr>
          <w:i/>
          <w:sz w:val="20"/>
          <w:szCs w:val="20"/>
        </w:rPr>
        <w:fldChar w:fldCharType="separate"/>
      </w:r>
      <w:r w:rsidR="00444CEC">
        <w:rPr>
          <w:rFonts w:ascii="Calibri" w:eastAsia="Times New Roman" w:hAnsi="Calibri" w:cs="Calibri"/>
          <w:i/>
          <w:iCs/>
          <w:sz w:val="20"/>
          <w:szCs w:val="20"/>
        </w:rPr>
        <w:t>(</w:t>
      </w:r>
      <w:proofErr w:type="spellStart"/>
      <w:r w:rsidR="00444CEC">
        <w:rPr>
          <w:rFonts w:ascii="Calibri" w:eastAsia="Times New Roman" w:hAnsi="Calibri" w:cs="Calibri"/>
          <w:i/>
          <w:iCs/>
          <w:sz w:val="20"/>
          <w:szCs w:val="20"/>
        </w:rPr>
        <w:t>Rayment</w:t>
      </w:r>
      <w:proofErr w:type="spellEnd"/>
      <w:r w:rsidR="00444CEC">
        <w:rPr>
          <w:rFonts w:ascii="Calibri" w:eastAsia="Times New Roman" w:hAnsi="Calibri" w:cs="Calibri"/>
          <w:i/>
          <w:iCs/>
          <w:sz w:val="20"/>
          <w:szCs w:val="20"/>
        </w:rPr>
        <w:t xml:space="preserve"> and Lyons 2010)</w:t>
      </w:r>
      <w:r w:rsidRPr="007460C1">
        <w:rPr>
          <w:i/>
          <w:sz w:val="20"/>
          <w:szCs w:val="20"/>
        </w:rPr>
        <w:fldChar w:fldCharType="end"/>
      </w:r>
      <w:r w:rsidRPr="007460C1">
        <w:rPr>
          <w:i/>
          <w:sz w:val="20"/>
          <w:szCs w:val="20"/>
        </w:rPr>
        <w:t>).</w:t>
      </w:r>
    </w:p>
    <w:p w:rsidR="007460C1" w:rsidRPr="007460C1" w:rsidRDefault="007460C1" w:rsidP="007460C1">
      <w:pPr>
        <w:pStyle w:val="ListParagraph"/>
        <w:rPr>
          <w:sz w:val="20"/>
          <w:szCs w:val="20"/>
        </w:rPr>
      </w:pPr>
      <w:r w:rsidRPr="007460C1">
        <w:rPr>
          <w:sz w:val="20"/>
          <w:szCs w:val="20"/>
        </w:rPr>
        <w:t xml:space="preserve">Note: Conversions were limited to 4% organic matter as recommended by </w:t>
      </w:r>
      <w:proofErr w:type="spellStart"/>
      <w:r w:rsidRPr="007460C1">
        <w:rPr>
          <w:sz w:val="20"/>
          <w:szCs w:val="20"/>
        </w:rPr>
        <w:t>Rosewell</w:t>
      </w:r>
      <w:proofErr w:type="spellEnd"/>
      <w:r w:rsidRPr="007460C1">
        <w:rPr>
          <w:sz w:val="20"/>
          <w:szCs w:val="20"/>
        </w:rPr>
        <w:t xml:space="preserve"> and Loch </w:t>
      </w:r>
      <w:r w:rsidRPr="007460C1">
        <w:rPr>
          <w:sz w:val="20"/>
          <w:szCs w:val="20"/>
        </w:rPr>
        <w:fldChar w:fldCharType="begin"/>
      </w:r>
      <w:r w:rsidRPr="007460C1">
        <w:rPr>
          <w:sz w:val="20"/>
          <w:szCs w:val="20"/>
        </w:rPr>
        <w:instrText>ADDIN RW.CITE{{435 Rosewell, C.J. 2002/a;}}</w:instrText>
      </w:r>
      <w:r w:rsidRPr="007460C1">
        <w:rPr>
          <w:sz w:val="20"/>
          <w:szCs w:val="20"/>
        </w:rPr>
        <w:fldChar w:fldCharType="separate"/>
      </w:r>
      <w:r w:rsidR="00444CEC">
        <w:rPr>
          <w:sz w:val="20"/>
          <w:szCs w:val="20"/>
        </w:rPr>
        <w:t>(2002)</w:t>
      </w:r>
      <w:r w:rsidRPr="007460C1">
        <w:rPr>
          <w:sz w:val="20"/>
          <w:szCs w:val="20"/>
        </w:rPr>
        <w:fldChar w:fldCharType="end"/>
      </w:r>
      <w:r w:rsidRPr="007460C1">
        <w:rPr>
          <w:sz w:val="20"/>
          <w:szCs w:val="20"/>
        </w:rPr>
        <w:t>, values greater than 4% were changed to 4%.</w:t>
      </w:r>
    </w:p>
    <w:p w:rsidR="007460C1" w:rsidRDefault="00530656">
      <w:r>
        <w:rPr>
          <w:b/>
        </w:rPr>
        <w:br w:type="page"/>
      </w:r>
      <w:r w:rsidR="007460C1" w:rsidRPr="007460C1">
        <w:rPr>
          <w:b/>
        </w:rPr>
        <w:lastRenderedPageBreak/>
        <w:t>Soil structure (SS)</w:t>
      </w:r>
      <w:r w:rsidR="007460C1">
        <w:t xml:space="preserve"> calculated using Table 28.1 </w:t>
      </w:r>
      <w:r w:rsidR="007460C1">
        <w:fldChar w:fldCharType="begin"/>
      </w:r>
      <w:r w:rsidR="007460C1">
        <w:instrText>ADDIN RW.CITE{{435 Rosewell, C.J. 2002}}</w:instrText>
      </w:r>
      <w:r w:rsidR="007460C1">
        <w:fldChar w:fldCharType="separate"/>
      </w:r>
      <w:r w:rsidR="00444CEC">
        <w:rPr>
          <w:rFonts w:ascii="Calibri" w:eastAsia="Times New Roman" w:hAnsi="Calibri" w:cs="Calibri"/>
        </w:rPr>
        <w:t>(</w:t>
      </w:r>
      <w:proofErr w:type="spellStart"/>
      <w:r w:rsidR="00444CEC">
        <w:rPr>
          <w:rFonts w:ascii="Calibri" w:eastAsia="Times New Roman" w:hAnsi="Calibri" w:cs="Calibri"/>
        </w:rPr>
        <w:t>Rosewell</w:t>
      </w:r>
      <w:proofErr w:type="spellEnd"/>
      <w:r w:rsidR="00444CEC">
        <w:rPr>
          <w:rFonts w:ascii="Calibri" w:eastAsia="Times New Roman" w:hAnsi="Calibri" w:cs="Calibri"/>
        </w:rPr>
        <w:t xml:space="preserve"> and Loch 2002)</w:t>
      </w:r>
      <w:r w:rsidR="007460C1">
        <w:fldChar w:fldCharType="end"/>
      </w:r>
    </w:p>
    <w:p w:rsidR="007460C1" w:rsidRPr="007460C1" w:rsidRDefault="007460C1" w:rsidP="007460C1">
      <w:pPr>
        <w:pStyle w:val="ListParagraph"/>
        <w:rPr>
          <w:i/>
          <w:sz w:val="20"/>
          <w:szCs w:val="20"/>
        </w:rPr>
      </w:pPr>
      <w:proofErr w:type="spellStart"/>
      <w:proofErr w:type="gramStart"/>
      <w:r w:rsidRPr="007460C1">
        <w:rPr>
          <w:i/>
          <w:sz w:val="20"/>
          <w:szCs w:val="20"/>
        </w:rPr>
        <w:t>a$</w:t>
      </w:r>
      <w:proofErr w:type="gramEnd"/>
      <w:r w:rsidRPr="007460C1">
        <w:rPr>
          <w:i/>
          <w:sz w:val="20"/>
          <w:szCs w:val="20"/>
        </w:rPr>
        <w:t>SS</w:t>
      </w:r>
      <w:proofErr w:type="spellEnd"/>
      <w:r w:rsidRPr="007460C1">
        <w:rPr>
          <w:i/>
          <w:sz w:val="20"/>
          <w:szCs w:val="20"/>
        </w:rPr>
        <w:t xml:space="preserve"> &lt;- 2</w:t>
      </w:r>
    </w:p>
    <w:p w:rsidR="007460C1" w:rsidRPr="007460C1" w:rsidRDefault="007460C1" w:rsidP="007460C1">
      <w:pPr>
        <w:pStyle w:val="ListParagraph"/>
        <w:rPr>
          <w:i/>
          <w:sz w:val="20"/>
          <w:szCs w:val="20"/>
        </w:rPr>
      </w:pPr>
      <w:proofErr w:type="spellStart"/>
      <w:proofErr w:type="gramStart"/>
      <w:r w:rsidRPr="007460C1">
        <w:rPr>
          <w:i/>
          <w:sz w:val="20"/>
          <w:szCs w:val="20"/>
        </w:rPr>
        <w:t>a$</w:t>
      </w:r>
      <w:proofErr w:type="gramEnd"/>
      <w:r w:rsidRPr="007460C1">
        <w:rPr>
          <w:i/>
          <w:sz w:val="20"/>
          <w:szCs w:val="20"/>
        </w:rPr>
        <w:t>SS</w:t>
      </w:r>
      <w:proofErr w:type="spellEnd"/>
      <w:r w:rsidRPr="007460C1">
        <w:rPr>
          <w:i/>
          <w:sz w:val="20"/>
          <w:szCs w:val="20"/>
        </w:rPr>
        <w:t>[</w:t>
      </w:r>
      <w:proofErr w:type="spellStart"/>
      <w:r w:rsidRPr="007460C1">
        <w:rPr>
          <w:i/>
          <w:sz w:val="20"/>
          <w:szCs w:val="20"/>
        </w:rPr>
        <w:t>a$SIZ</w:t>
      </w:r>
      <w:proofErr w:type="spellEnd"/>
      <w:r w:rsidRPr="007460C1">
        <w:rPr>
          <w:i/>
          <w:sz w:val="20"/>
          <w:szCs w:val="20"/>
        </w:rPr>
        <w:t xml:space="preserve"> == 1 &amp; </w:t>
      </w:r>
      <w:proofErr w:type="spellStart"/>
      <w:r w:rsidRPr="007460C1">
        <w:rPr>
          <w:i/>
          <w:sz w:val="20"/>
          <w:szCs w:val="20"/>
        </w:rPr>
        <w:t>a$TYPE</w:t>
      </w:r>
      <w:proofErr w:type="spellEnd"/>
      <w:r w:rsidRPr="007460C1">
        <w:rPr>
          <w:i/>
          <w:sz w:val="20"/>
          <w:szCs w:val="20"/>
        </w:rPr>
        <w:t xml:space="preserve"> == "GR"] &lt;- 2</w:t>
      </w:r>
    </w:p>
    <w:p w:rsidR="007460C1" w:rsidRPr="007460C1" w:rsidRDefault="007460C1" w:rsidP="007460C1">
      <w:pPr>
        <w:pStyle w:val="ListParagraph"/>
        <w:rPr>
          <w:i/>
          <w:sz w:val="20"/>
          <w:szCs w:val="20"/>
        </w:rPr>
      </w:pPr>
      <w:proofErr w:type="spellStart"/>
      <w:proofErr w:type="gramStart"/>
      <w:r w:rsidRPr="007460C1">
        <w:rPr>
          <w:i/>
          <w:sz w:val="20"/>
          <w:szCs w:val="20"/>
        </w:rPr>
        <w:t>a$</w:t>
      </w:r>
      <w:proofErr w:type="gramEnd"/>
      <w:r w:rsidRPr="007460C1">
        <w:rPr>
          <w:i/>
          <w:sz w:val="20"/>
          <w:szCs w:val="20"/>
        </w:rPr>
        <w:t>SS</w:t>
      </w:r>
      <w:proofErr w:type="spellEnd"/>
      <w:r w:rsidRPr="007460C1">
        <w:rPr>
          <w:i/>
          <w:sz w:val="20"/>
          <w:szCs w:val="20"/>
        </w:rPr>
        <w:t>[</w:t>
      </w:r>
      <w:proofErr w:type="spellStart"/>
      <w:r w:rsidRPr="007460C1">
        <w:rPr>
          <w:i/>
          <w:sz w:val="20"/>
          <w:szCs w:val="20"/>
        </w:rPr>
        <w:t>a$SIZ</w:t>
      </w:r>
      <w:proofErr w:type="spellEnd"/>
      <w:r w:rsidRPr="007460C1">
        <w:rPr>
          <w:i/>
          <w:sz w:val="20"/>
          <w:szCs w:val="20"/>
        </w:rPr>
        <w:t xml:space="preserve"> == 2 &amp; </w:t>
      </w:r>
      <w:proofErr w:type="spellStart"/>
      <w:r w:rsidRPr="007460C1">
        <w:rPr>
          <w:i/>
          <w:sz w:val="20"/>
          <w:szCs w:val="20"/>
        </w:rPr>
        <w:t>a$TYPE</w:t>
      </w:r>
      <w:proofErr w:type="spellEnd"/>
      <w:r w:rsidRPr="007460C1">
        <w:rPr>
          <w:i/>
          <w:sz w:val="20"/>
          <w:szCs w:val="20"/>
        </w:rPr>
        <w:t xml:space="preserve"> == "GR"] &lt;- 3</w:t>
      </w:r>
    </w:p>
    <w:p w:rsidR="007460C1" w:rsidRPr="007460C1" w:rsidRDefault="007460C1" w:rsidP="007460C1">
      <w:pPr>
        <w:pStyle w:val="ListParagraph"/>
        <w:rPr>
          <w:i/>
          <w:sz w:val="20"/>
          <w:szCs w:val="20"/>
        </w:rPr>
      </w:pPr>
      <w:proofErr w:type="spellStart"/>
      <w:proofErr w:type="gramStart"/>
      <w:r w:rsidRPr="007460C1">
        <w:rPr>
          <w:i/>
          <w:sz w:val="20"/>
          <w:szCs w:val="20"/>
        </w:rPr>
        <w:t>a$</w:t>
      </w:r>
      <w:proofErr w:type="gramEnd"/>
      <w:r w:rsidRPr="007460C1">
        <w:rPr>
          <w:i/>
          <w:sz w:val="20"/>
          <w:szCs w:val="20"/>
        </w:rPr>
        <w:t>SS</w:t>
      </w:r>
      <w:proofErr w:type="spellEnd"/>
      <w:r w:rsidRPr="007460C1">
        <w:rPr>
          <w:i/>
          <w:sz w:val="20"/>
          <w:szCs w:val="20"/>
        </w:rPr>
        <w:t>[</w:t>
      </w:r>
      <w:proofErr w:type="spellStart"/>
      <w:r w:rsidRPr="007460C1">
        <w:rPr>
          <w:i/>
          <w:sz w:val="20"/>
          <w:szCs w:val="20"/>
        </w:rPr>
        <w:t>a$SIZ</w:t>
      </w:r>
      <w:proofErr w:type="spellEnd"/>
      <w:r w:rsidRPr="007460C1">
        <w:rPr>
          <w:i/>
          <w:sz w:val="20"/>
          <w:szCs w:val="20"/>
        </w:rPr>
        <w:t xml:space="preserve"> == 3 &amp; </w:t>
      </w:r>
      <w:proofErr w:type="spellStart"/>
      <w:r w:rsidRPr="007460C1">
        <w:rPr>
          <w:i/>
          <w:sz w:val="20"/>
          <w:szCs w:val="20"/>
        </w:rPr>
        <w:t>a$TYPE</w:t>
      </w:r>
      <w:proofErr w:type="spellEnd"/>
      <w:r w:rsidRPr="007460C1">
        <w:rPr>
          <w:i/>
          <w:sz w:val="20"/>
          <w:szCs w:val="20"/>
        </w:rPr>
        <w:t xml:space="preserve"> == "GR"] &lt;- 3</w:t>
      </w:r>
    </w:p>
    <w:p w:rsidR="007460C1" w:rsidRPr="007460C1" w:rsidRDefault="007460C1" w:rsidP="007460C1">
      <w:pPr>
        <w:pStyle w:val="ListParagraph"/>
        <w:rPr>
          <w:i/>
          <w:sz w:val="20"/>
          <w:szCs w:val="20"/>
        </w:rPr>
      </w:pPr>
      <w:proofErr w:type="spellStart"/>
      <w:proofErr w:type="gramStart"/>
      <w:r w:rsidRPr="007460C1">
        <w:rPr>
          <w:i/>
          <w:sz w:val="20"/>
          <w:szCs w:val="20"/>
        </w:rPr>
        <w:t>a$</w:t>
      </w:r>
      <w:proofErr w:type="gramEnd"/>
      <w:r w:rsidRPr="007460C1">
        <w:rPr>
          <w:i/>
          <w:sz w:val="20"/>
          <w:szCs w:val="20"/>
        </w:rPr>
        <w:t>SS</w:t>
      </w:r>
      <w:proofErr w:type="spellEnd"/>
      <w:r w:rsidRPr="007460C1">
        <w:rPr>
          <w:i/>
          <w:sz w:val="20"/>
          <w:szCs w:val="20"/>
        </w:rPr>
        <w:t>[</w:t>
      </w:r>
      <w:proofErr w:type="spellStart"/>
      <w:r w:rsidRPr="007460C1">
        <w:rPr>
          <w:i/>
          <w:sz w:val="20"/>
          <w:szCs w:val="20"/>
        </w:rPr>
        <w:t>a$GRADE</w:t>
      </w:r>
      <w:proofErr w:type="spellEnd"/>
      <w:r w:rsidRPr="007460C1">
        <w:rPr>
          <w:i/>
          <w:sz w:val="20"/>
          <w:szCs w:val="20"/>
        </w:rPr>
        <w:t xml:space="preserve"> == "V"]               &lt;- 4</w:t>
      </w:r>
    </w:p>
    <w:p w:rsidR="007460C1" w:rsidRPr="007460C1" w:rsidRDefault="007460C1" w:rsidP="007460C1">
      <w:pPr>
        <w:pStyle w:val="ListParagraph"/>
        <w:rPr>
          <w:i/>
          <w:sz w:val="20"/>
          <w:szCs w:val="20"/>
        </w:rPr>
      </w:pPr>
      <w:proofErr w:type="spellStart"/>
      <w:proofErr w:type="gramStart"/>
      <w:r w:rsidRPr="007460C1">
        <w:rPr>
          <w:i/>
          <w:sz w:val="20"/>
          <w:szCs w:val="20"/>
        </w:rPr>
        <w:t>a$</w:t>
      </w:r>
      <w:proofErr w:type="gramEnd"/>
      <w:r w:rsidRPr="007460C1">
        <w:rPr>
          <w:i/>
          <w:sz w:val="20"/>
          <w:szCs w:val="20"/>
        </w:rPr>
        <w:t>SS</w:t>
      </w:r>
      <w:proofErr w:type="spellEnd"/>
      <w:r w:rsidRPr="007460C1">
        <w:rPr>
          <w:i/>
          <w:sz w:val="20"/>
          <w:szCs w:val="20"/>
        </w:rPr>
        <w:t>[</w:t>
      </w:r>
      <w:proofErr w:type="spellStart"/>
      <w:r w:rsidRPr="007460C1">
        <w:rPr>
          <w:i/>
          <w:sz w:val="20"/>
          <w:szCs w:val="20"/>
        </w:rPr>
        <w:t>a$TYPE</w:t>
      </w:r>
      <w:proofErr w:type="spellEnd"/>
      <w:r w:rsidRPr="007460C1">
        <w:rPr>
          <w:i/>
          <w:sz w:val="20"/>
          <w:szCs w:val="20"/>
        </w:rPr>
        <w:t xml:space="preserve"> %in% c("PL", "SB", "AB", "CO")] &lt;- 4</w:t>
      </w:r>
    </w:p>
    <w:p w:rsidR="00530656" w:rsidRDefault="00530656" w:rsidP="007460C1">
      <w:pPr>
        <w:rPr>
          <w:b/>
        </w:rPr>
      </w:pPr>
    </w:p>
    <w:p w:rsidR="007460C1" w:rsidRPr="007460C1" w:rsidRDefault="007460C1" w:rsidP="007460C1">
      <w:pPr>
        <w:rPr>
          <w:b/>
        </w:rPr>
      </w:pPr>
      <w:r w:rsidRPr="007460C1">
        <w:rPr>
          <w:b/>
        </w:rPr>
        <w:t xml:space="preserve">Profile Permeability (PP) </w:t>
      </w:r>
    </w:p>
    <w:p w:rsidR="00530656" w:rsidRPr="00530656" w:rsidRDefault="00530656" w:rsidP="00530656">
      <w:pPr>
        <w:pStyle w:val="ListParagraph"/>
        <w:rPr>
          <w:i/>
          <w:sz w:val="20"/>
          <w:szCs w:val="20"/>
        </w:rPr>
      </w:pPr>
      <w:proofErr w:type="spellStart"/>
      <w:proofErr w:type="gramStart"/>
      <w:r w:rsidRPr="00530656">
        <w:rPr>
          <w:i/>
          <w:sz w:val="20"/>
          <w:szCs w:val="20"/>
        </w:rPr>
        <w:t>a$</w:t>
      </w:r>
      <w:proofErr w:type="gramEnd"/>
      <w:r w:rsidRPr="00530656">
        <w:rPr>
          <w:i/>
          <w:sz w:val="20"/>
          <w:szCs w:val="20"/>
        </w:rPr>
        <w:t>PP</w:t>
      </w:r>
      <w:proofErr w:type="spellEnd"/>
      <w:r w:rsidRPr="00530656">
        <w:rPr>
          <w:i/>
          <w:sz w:val="20"/>
          <w:szCs w:val="20"/>
        </w:rPr>
        <w:t xml:space="preserve"> &lt;- 2</w:t>
      </w:r>
    </w:p>
    <w:p w:rsidR="00530656" w:rsidRPr="00530656" w:rsidRDefault="00530656" w:rsidP="00530656">
      <w:pPr>
        <w:pStyle w:val="ListParagraph"/>
        <w:rPr>
          <w:i/>
          <w:sz w:val="20"/>
          <w:szCs w:val="20"/>
        </w:rPr>
      </w:pPr>
      <w:proofErr w:type="spellStart"/>
      <w:proofErr w:type="gramStart"/>
      <w:r w:rsidRPr="00530656">
        <w:rPr>
          <w:i/>
          <w:sz w:val="20"/>
          <w:szCs w:val="20"/>
        </w:rPr>
        <w:t>a$</w:t>
      </w:r>
      <w:proofErr w:type="gramEnd"/>
      <w:r w:rsidRPr="00530656">
        <w:rPr>
          <w:i/>
          <w:sz w:val="20"/>
          <w:szCs w:val="20"/>
        </w:rPr>
        <w:t>PP</w:t>
      </w:r>
      <w:proofErr w:type="spellEnd"/>
      <w:r w:rsidRPr="00530656">
        <w:rPr>
          <w:i/>
          <w:sz w:val="20"/>
          <w:szCs w:val="20"/>
        </w:rPr>
        <w:t>[</w:t>
      </w:r>
      <w:proofErr w:type="spellStart"/>
      <w:r w:rsidRPr="00530656">
        <w:rPr>
          <w:i/>
          <w:sz w:val="20"/>
          <w:szCs w:val="20"/>
        </w:rPr>
        <w:t>a$PERMEABILITY</w:t>
      </w:r>
      <w:proofErr w:type="spellEnd"/>
      <w:r w:rsidRPr="00530656">
        <w:rPr>
          <w:i/>
          <w:sz w:val="20"/>
          <w:szCs w:val="20"/>
        </w:rPr>
        <w:t xml:space="preserve"> == 3] &lt;- 4</w:t>
      </w:r>
    </w:p>
    <w:p w:rsidR="00530656" w:rsidRPr="00530656" w:rsidRDefault="00530656" w:rsidP="00530656">
      <w:pPr>
        <w:pStyle w:val="ListParagraph"/>
        <w:rPr>
          <w:i/>
          <w:sz w:val="20"/>
          <w:szCs w:val="20"/>
        </w:rPr>
      </w:pPr>
      <w:proofErr w:type="spellStart"/>
      <w:proofErr w:type="gramStart"/>
      <w:r w:rsidRPr="00530656">
        <w:rPr>
          <w:i/>
          <w:sz w:val="20"/>
          <w:szCs w:val="20"/>
        </w:rPr>
        <w:t>a$</w:t>
      </w:r>
      <w:proofErr w:type="gramEnd"/>
      <w:r w:rsidRPr="00530656">
        <w:rPr>
          <w:i/>
          <w:sz w:val="20"/>
          <w:szCs w:val="20"/>
        </w:rPr>
        <w:t>PP</w:t>
      </w:r>
      <w:proofErr w:type="spellEnd"/>
      <w:r w:rsidRPr="00530656">
        <w:rPr>
          <w:i/>
          <w:sz w:val="20"/>
          <w:szCs w:val="20"/>
        </w:rPr>
        <w:t>[</w:t>
      </w:r>
      <w:proofErr w:type="spellStart"/>
      <w:r w:rsidRPr="00530656">
        <w:rPr>
          <w:i/>
          <w:sz w:val="20"/>
          <w:szCs w:val="20"/>
        </w:rPr>
        <w:t>a$PERMEABILITY</w:t>
      </w:r>
      <w:proofErr w:type="spellEnd"/>
      <w:r w:rsidRPr="00530656">
        <w:rPr>
          <w:i/>
          <w:sz w:val="20"/>
          <w:szCs w:val="20"/>
        </w:rPr>
        <w:t xml:space="preserve"> == 2] &lt;- 5</w:t>
      </w:r>
    </w:p>
    <w:p w:rsidR="007460C1" w:rsidRPr="00530656" w:rsidRDefault="00530656" w:rsidP="00530656">
      <w:pPr>
        <w:pStyle w:val="ListParagraph"/>
        <w:rPr>
          <w:i/>
          <w:sz w:val="20"/>
          <w:szCs w:val="20"/>
        </w:rPr>
      </w:pPr>
      <w:proofErr w:type="spellStart"/>
      <w:proofErr w:type="gramStart"/>
      <w:r w:rsidRPr="00530656">
        <w:rPr>
          <w:i/>
          <w:sz w:val="20"/>
          <w:szCs w:val="20"/>
        </w:rPr>
        <w:t>a$</w:t>
      </w:r>
      <w:proofErr w:type="gramEnd"/>
      <w:r w:rsidRPr="00530656">
        <w:rPr>
          <w:i/>
          <w:sz w:val="20"/>
          <w:szCs w:val="20"/>
        </w:rPr>
        <w:t>PP</w:t>
      </w:r>
      <w:proofErr w:type="spellEnd"/>
      <w:r w:rsidRPr="00530656">
        <w:rPr>
          <w:i/>
          <w:sz w:val="20"/>
          <w:szCs w:val="20"/>
        </w:rPr>
        <w:t>[</w:t>
      </w:r>
      <w:proofErr w:type="spellStart"/>
      <w:r w:rsidRPr="00530656">
        <w:rPr>
          <w:i/>
          <w:sz w:val="20"/>
          <w:szCs w:val="20"/>
        </w:rPr>
        <w:t>a$PERMEABILITY</w:t>
      </w:r>
      <w:proofErr w:type="spellEnd"/>
      <w:r w:rsidRPr="00530656">
        <w:rPr>
          <w:i/>
          <w:sz w:val="20"/>
          <w:szCs w:val="20"/>
        </w:rPr>
        <w:t xml:space="preserve"> == 1] &lt;- 6</w:t>
      </w:r>
    </w:p>
    <w:p w:rsidR="00530656" w:rsidRDefault="00530656" w:rsidP="00966B49">
      <w:pPr>
        <w:pStyle w:val="Heading2"/>
        <w:rPr>
          <w:color w:val="7030A0"/>
        </w:rPr>
      </w:pPr>
    </w:p>
    <w:p w:rsidR="007460C1" w:rsidRDefault="007460C1" w:rsidP="00966B49">
      <w:pPr>
        <w:pStyle w:val="Heading2"/>
      </w:pPr>
      <w:r w:rsidRPr="00966B49">
        <w:rPr>
          <w:color w:val="7030A0"/>
        </w:rPr>
        <w:t>How was the dataset produced?</w:t>
      </w:r>
    </w:p>
    <w:p w:rsidR="007460C1" w:rsidRDefault="007460C1">
      <w:r>
        <w:t>K was calculated at SALI sites within the modelling area using available laboratory and morphological data for the specific SALI site samples less than 15cm deep. 197 sites had samples with all the necessary data to calculate K. K was then interpolated between these sites using Cubist and a series of environmentally related covariates. However 197 sites did not produce a detailed enough site density for Cubist to run successfully.</w:t>
      </w:r>
    </w:p>
    <w:p w:rsidR="007460C1" w:rsidRDefault="007460C1">
      <w:r>
        <w:t>OC was available at a lot more SALI sites if the surface bulk sample was taken into account. However the surface bulk sample does not include particle size analysis usually. So to increase the number of SALI sites where K can be calculated, OC from any sample in the top 15cm of the profile was attributed to all the available samples within 15cm of the surface of a given SALI site. As a result K could be calculated for 577 SALI sites within the modelling area. However 577 was still not detailed enough for Cubist to run.</w:t>
      </w:r>
    </w:p>
    <w:p w:rsidR="00966B49" w:rsidRPr="000F67F8" w:rsidRDefault="007460C1" w:rsidP="000F67F8">
      <w:r>
        <w:t xml:space="preserve">The next most limiting soil attribute is particle size. To overcome this limitation, </w:t>
      </w:r>
      <w:r w:rsidR="00966B49">
        <w:t xml:space="preserve">Clay %, Silt % and Fine Sand % maps were created for the whole modelling area using available SALI site data and </w:t>
      </w:r>
      <w:r w:rsidR="000F67F8">
        <w:t xml:space="preserve">environmentally related </w:t>
      </w:r>
      <w:r w:rsidR="00966B49">
        <w:t xml:space="preserve">covariates in Cubist. Particle size data was extracted from these maps at SALI site locations that already had all the other necessary laboratory and morphological data for the K factor calculation. The interpolated particle size data was only used if the SALI site had no real laboratory particle size data. As a result, K could be calculated for a total of 986 SALI sites (577 using </w:t>
      </w:r>
      <w:r w:rsidR="00966B49" w:rsidRPr="00966B49">
        <w:rPr>
          <w:i/>
        </w:rPr>
        <w:t>real</w:t>
      </w:r>
      <w:r w:rsidR="00966B49">
        <w:t xml:space="preserve"> particle size data and 409 using </w:t>
      </w:r>
      <w:r w:rsidR="00966B49" w:rsidRPr="00966B49">
        <w:rPr>
          <w:i/>
        </w:rPr>
        <w:t>interpolated</w:t>
      </w:r>
      <w:r w:rsidR="00966B49">
        <w:t xml:space="preserve"> particle size data). Cubist successfully ran using these 986 SALI sites.</w:t>
      </w:r>
    </w:p>
    <w:p w:rsidR="000F67F8" w:rsidRDefault="000F67F8" w:rsidP="00966B49">
      <w:pPr>
        <w:rPr>
          <w:b/>
        </w:rPr>
      </w:pPr>
    </w:p>
    <w:p w:rsidR="00A373D6" w:rsidRPr="000F67F8" w:rsidRDefault="000F67F8" w:rsidP="000F67F8">
      <w:pPr>
        <w:pStyle w:val="Heading2"/>
        <w:rPr>
          <w:color w:val="7030A0"/>
        </w:rPr>
      </w:pPr>
      <w:r w:rsidRPr="000F67F8">
        <w:rPr>
          <w:color w:val="7030A0"/>
        </w:rPr>
        <w:t>In what area was the K factor dataset produced?</w:t>
      </w:r>
    </w:p>
    <w:p w:rsidR="00A373D6" w:rsidRPr="00A373D6" w:rsidRDefault="00A373D6" w:rsidP="00A373D6">
      <w:pPr>
        <w:pStyle w:val="ListParagraph"/>
        <w:rPr>
          <w:i/>
          <w:sz w:val="20"/>
          <w:szCs w:val="20"/>
        </w:rPr>
      </w:pPr>
      <w:r w:rsidRPr="00A373D6">
        <w:rPr>
          <w:i/>
          <w:sz w:val="20"/>
          <w:szCs w:val="20"/>
        </w:rPr>
        <w:t>L</w:t>
      </w:r>
      <w:r w:rsidR="00966B49" w:rsidRPr="00A373D6">
        <w:rPr>
          <w:i/>
          <w:sz w:val="20"/>
          <w:szCs w:val="20"/>
        </w:rPr>
        <w:t>atitude between -</w:t>
      </w:r>
      <w:r w:rsidRPr="00A373D6">
        <w:rPr>
          <w:i/>
          <w:sz w:val="20"/>
          <w:szCs w:val="20"/>
        </w:rPr>
        <w:t>26.476401 and -21.205394</w:t>
      </w:r>
    </w:p>
    <w:p w:rsidR="00966B49" w:rsidRPr="00A373D6" w:rsidRDefault="00A373D6" w:rsidP="00A373D6">
      <w:pPr>
        <w:pStyle w:val="ListParagraph"/>
        <w:rPr>
          <w:i/>
          <w:sz w:val="20"/>
          <w:szCs w:val="20"/>
        </w:rPr>
      </w:pPr>
      <w:r w:rsidRPr="00A373D6">
        <w:rPr>
          <w:i/>
          <w:sz w:val="20"/>
          <w:szCs w:val="20"/>
        </w:rPr>
        <w:t>Longitude</w:t>
      </w:r>
      <w:r w:rsidR="00966B49" w:rsidRPr="00A373D6">
        <w:rPr>
          <w:i/>
          <w:sz w:val="20"/>
          <w:szCs w:val="20"/>
        </w:rPr>
        <w:t xml:space="preserve"> between 146.557398 and 151.586142</w:t>
      </w:r>
    </w:p>
    <w:p w:rsidR="000F67F8" w:rsidRDefault="000F67F8">
      <w:pPr>
        <w:rPr>
          <w:b/>
        </w:rPr>
      </w:pPr>
    </w:p>
    <w:p w:rsidR="00966B49" w:rsidRDefault="000F67F8" w:rsidP="000F67F8">
      <w:pPr>
        <w:pStyle w:val="Heading2"/>
      </w:pPr>
      <w:r w:rsidRPr="000F67F8">
        <w:rPr>
          <w:color w:val="7030A0"/>
        </w:rPr>
        <w:t>What environmentally related c</w:t>
      </w:r>
      <w:r w:rsidR="00966B49" w:rsidRPr="000F67F8">
        <w:rPr>
          <w:color w:val="7030A0"/>
        </w:rPr>
        <w:t xml:space="preserve">ovariates </w:t>
      </w:r>
      <w:r w:rsidRPr="000F67F8">
        <w:rPr>
          <w:color w:val="7030A0"/>
        </w:rPr>
        <w:t xml:space="preserve">were </w:t>
      </w:r>
      <w:r w:rsidR="00966B49" w:rsidRPr="000F67F8">
        <w:rPr>
          <w:color w:val="7030A0"/>
        </w:rPr>
        <w:t>used</w:t>
      </w:r>
      <w:r w:rsidRPr="000F67F8">
        <w:rPr>
          <w:color w:val="7030A0"/>
        </w:rPr>
        <w:t>?</w:t>
      </w:r>
      <w:r w:rsidR="00966B49">
        <w:t xml:space="preserve"> </w:t>
      </w:r>
    </w:p>
    <w:p w:rsidR="000161DC" w:rsidRDefault="000F67F8" w:rsidP="000B59E0">
      <w:r>
        <w:t xml:space="preserve">A set of </w:t>
      </w:r>
      <w:r w:rsidR="000B59E0" w:rsidRPr="00BC6AA8">
        <w:t>23</w:t>
      </w:r>
      <w:r w:rsidR="000B59E0">
        <w:t xml:space="preserve"> covariates were used</w:t>
      </w:r>
      <w:r>
        <w:t xml:space="preserve"> </w:t>
      </w:r>
      <w:r w:rsidR="000B59E0">
        <w:t xml:space="preserve">for both the K-Factor and Particle Size </w:t>
      </w:r>
      <w:r>
        <w:t>datasets</w:t>
      </w:r>
      <w:r w:rsidR="000B59E0">
        <w:t>.</w:t>
      </w:r>
      <w:r>
        <w:t xml:space="preserve"> The same covariates for both datasets.</w:t>
      </w:r>
      <w:r w:rsidR="000161DC">
        <w:t xml:space="preserve"> The covariates </w:t>
      </w:r>
      <w:r>
        <w:t xml:space="preserve">came </w:t>
      </w:r>
      <w:r w:rsidR="000161DC">
        <w:t xml:space="preserve">from various </w:t>
      </w:r>
      <w:r>
        <w:t xml:space="preserve">external </w:t>
      </w:r>
      <w:r w:rsidR="000161DC">
        <w:t>sources</w:t>
      </w:r>
      <w:r>
        <w:t xml:space="preserve"> or were made </w:t>
      </w:r>
      <w:r w:rsidR="00E27AF5">
        <w:t xml:space="preserve">in </w:t>
      </w:r>
      <w:r w:rsidR="00E27AF5">
        <w:lastRenderedPageBreak/>
        <w:t>house</w:t>
      </w:r>
      <w:r w:rsidR="000161DC">
        <w:t>.</w:t>
      </w:r>
      <w:r w:rsidR="00E27AF5">
        <w:t xml:space="preserve"> Grid (or cell) values in each covariate were checked to ensure that waterbodies consistently are represented by a NULL (or NA) across all covariates. Table 1, lists the covariate produced in-house and Table 2 lists ready-made covariates sourced externally.</w:t>
      </w:r>
      <w:r w:rsidR="00552974">
        <w:t xml:space="preserve"> Unfortunately, there is no available radiometric data in the Upper Nogoa catchment and radiometric data is an important covariate of soil parent material. To overcome this gap, radioactive K, </w:t>
      </w:r>
      <w:proofErr w:type="spellStart"/>
      <w:r w:rsidR="00552974">
        <w:t>Th</w:t>
      </w:r>
      <w:proofErr w:type="spellEnd"/>
      <w:r w:rsidR="00552974">
        <w:t xml:space="preserve"> and U were modelled using radiometric data sourced from nearby areas and other related covariates including geology surface mapping in a similar way to that of Kidd </w:t>
      </w:r>
      <w:r w:rsidR="00552974">
        <w:fldChar w:fldCharType="begin"/>
      </w:r>
      <w:r w:rsidR="00552974">
        <w:instrText>ADDIN RW.CITE{{333 Kidd,Darren 2015/a;}}</w:instrText>
      </w:r>
      <w:r w:rsidR="00552974">
        <w:fldChar w:fldCharType="separate"/>
      </w:r>
      <w:r w:rsidR="00444CEC">
        <w:t>(2015)</w:t>
      </w:r>
      <w:r w:rsidR="00552974">
        <w:fldChar w:fldCharType="end"/>
      </w:r>
      <w:r w:rsidR="00552974">
        <w:t>. See specific methodology/metadata.</w:t>
      </w:r>
      <w:r w:rsidR="001F55B1">
        <w:t xml:space="preserve"> The weathering intensity covariate </w:t>
      </w:r>
      <w:r w:rsidR="001F55B1">
        <w:fldChar w:fldCharType="begin"/>
      </w:r>
      <w:r w:rsidR="001F55B1">
        <w:instrText>ADDIN RW.CITE{{89 Wilford,John 2012}}</w:instrText>
      </w:r>
      <w:r w:rsidR="001F55B1">
        <w:fldChar w:fldCharType="separate"/>
      </w:r>
      <w:r w:rsidR="00444CEC">
        <w:rPr>
          <w:rFonts w:ascii="Calibri" w:eastAsia="Times New Roman" w:hAnsi="Calibri" w:cs="Calibri"/>
        </w:rPr>
        <w:t>(Wilford 2012)</w:t>
      </w:r>
      <w:r w:rsidR="001F55B1">
        <w:fldChar w:fldCharType="end"/>
      </w:r>
      <w:r w:rsidR="001F55B1">
        <w:t xml:space="preserve"> was not used because of gaps in the data for the modelling area.</w:t>
      </w:r>
    </w:p>
    <w:p w:rsidR="00E70BF8" w:rsidRDefault="00E70BF8" w:rsidP="000B59E0"/>
    <w:p w:rsidR="00E14EE9" w:rsidRDefault="00E14EE9" w:rsidP="00E14EE9">
      <w:pPr>
        <w:pStyle w:val="Caption"/>
      </w:pPr>
      <w:r>
        <w:t xml:space="preserve">Table </w:t>
      </w:r>
      <w:r w:rsidR="00444CEC">
        <w:fldChar w:fldCharType="begin"/>
      </w:r>
      <w:r w:rsidR="00444CEC">
        <w:instrText xml:space="preserve"> SEQ Table \* ARABIC </w:instrText>
      </w:r>
      <w:r w:rsidR="00444CEC">
        <w:fldChar w:fldCharType="separate"/>
      </w:r>
      <w:r>
        <w:rPr>
          <w:noProof/>
        </w:rPr>
        <w:t>1</w:t>
      </w:r>
      <w:r w:rsidR="00444CEC">
        <w:rPr>
          <w:noProof/>
        </w:rPr>
        <w:fldChar w:fldCharType="end"/>
      </w:r>
      <w:r>
        <w:t xml:space="preserve"> - Covariates produced in-house</w:t>
      </w:r>
    </w:p>
    <w:tbl>
      <w:tblPr>
        <w:tblStyle w:val="DSITIA-Blue"/>
        <w:tblpPr w:leftFromText="180" w:rightFromText="180" w:vertAnchor="text" w:tblpX="6" w:tblpY="1"/>
        <w:tblOverlap w:val="never"/>
        <w:tblW w:w="10122" w:type="dxa"/>
        <w:tblLook w:val="01E0" w:firstRow="1" w:lastRow="1" w:firstColumn="1" w:lastColumn="1" w:noHBand="0" w:noVBand="0"/>
      </w:tblPr>
      <w:tblGrid>
        <w:gridCol w:w="1439"/>
        <w:gridCol w:w="1881"/>
        <w:gridCol w:w="4627"/>
        <w:gridCol w:w="2175"/>
      </w:tblGrid>
      <w:tr w:rsidR="000161DC" w:rsidRPr="00472429" w:rsidTr="0055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0161DC" w:rsidRPr="00173CA5" w:rsidRDefault="000161DC" w:rsidP="00E14EE9">
            <w:pPr>
              <w:pStyle w:val="Tableheadings"/>
            </w:pPr>
            <w:r>
              <w:rPr>
                <w:lang w:eastAsia="en-AU"/>
              </w:rPr>
              <w:t>S</w:t>
            </w:r>
            <w:r w:rsidR="00552974">
              <w:rPr>
                <w:lang w:eastAsia="en-AU"/>
              </w:rPr>
              <w:t>C</w:t>
            </w:r>
            <w:r>
              <w:rPr>
                <w:lang w:eastAsia="en-AU"/>
              </w:rPr>
              <w:t>ORPAN</w:t>
            </w:r>
            <w:r w:rsidRPr="00173CA5">
              <w:rPr>
                <w:lang w:eastAsia="en-AU"/>
              </w:rPr>
              <w:t xml:space="preserve"> </w:t>
            </w:r>
            <w:r>
              <w:rPr>
                <w:lang w:eastAsia="en-AU"/>
              </w:rPr>
              <w:t>factor</w:t>
            </w:r>
          </w:p>
        </w:tc>
        <w:tc>
          <w:tcPr>
            <w:tcW w:w="1894" w:type="dxa"/>
          </w:tcPr>
          <w:p w:rsidR="000161DC" w:rsidRPr="00173CA5" w:rsidRDefault="000161DC" w:rsidP="00E14EE9">
            <w:pPr>
              <w:pStyle w:val="Tableheadings"/>
              <w:cnfStyle w:val="100000000000" w:firstRow="1" w:lastRow="0" w:firstColumn="0" w:lastColumn="0" w:oddVBand="0" w:evenVBand="0" w:oddHBand="0" w:evenHBand="0" w:firstRowFirstColumn="0" w:firstRowLastColumn="0" w:lastRowFirstColumn="0" w:lastRowLastColumn="0"/>
            </w:pPr>
            <w:r w:rsidRPr="00173CA5">
              <w:rPr>
                <w:lang w:eastAsia="en-AU"/>
              </w:rPr>
              <w:t>Covariate</w:t>
            </w:r>
          </w:p>
        </w:tc>
        <w:tc>
          <w:tcPr>
            <w:tcW w:w="4709" w:type="dxa"/>
          </w:tcPr>
          <w:p w:rsidR="000161DC" w:rsidRPr="00173CA5" w:rsidRDefault="000161DC" w:rsidP="00E14EE9">
            <w:pPr>
              <w:pStyle w:val="Tableheadings"/>
              <w:cnfStyle w:val="100000000000" w:firstRow="1" w:lastRow="0" w:firstColumn="0" w:lastColumn="0" w:oddVBand="0" w:evenVBand="0" w:oddHBand="0" w:evenHBand="0" w:firstRowFirstColumn="0" w:firstRowLastColumn="0" w:lastRowFirstColumn="0" w:lastRowLastColumn="0"/>
            </w:pPr>
            <w:r>
              <w:rPr>
                <w:lang w:eastAsia="en-AU"/>
              </w:rPr>
              <w:t>Details</w:t>
            </w:r>
          </w:p>
        </w:tc>
        <w:tc>
          <w:tcPr>
            <w:tcW w:w="2193" w:type="dxa"/>
          </w:tcPr>
          <w:p w:rsidR="000161DC" w:rsidRPr="00173CA5" w:rsidRDefault="000161DC" w:rsidP="00E14EE9">
            <w:pPr>
              <w:pStyle w:val="Tableheadings"/>
              <w:cnfStyle w:val="100000000000" w:firstRow="1" w:lastRow="0" w:firstColumn="0" w:lastColumn="0" w:oddVBand="0" w:evenVBand="0" w:oddHBand="0" w:evenHBand="0" w:firstRowFirstColumn="0" w:firstRowLastColumn="0" w:lastRowFirstColumn="0" w:lastRowLastColumn="0"/>
            </w:pPr>
            <w:r>
              <w:rPr>
                <w:lang w:eastAsia="en-AU"/>
              </w:rPr>
              <w:t>Reference</w:t>
            </w:r>
          </w:p>
        </w:tc>
      </w:tr>
      <w:tr w:rsidR="000161DC" w:rsidTr="00552974">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161DC" w:rsidRPr="005B12ED" w:rsidRDefault="00257879" w:rsidP="00E14EE9">
            <w:pPr>
              <w:pStyle w:val="Tabletext"/>
              <w:rPr>
                <w:rFonts w:cs="Arial"/>
                <w:sz w:val="16"/>
                <w:szCs w:val="16"/>
                <w:lang w:eastAsia="en-AU"/>
              </w:rPr>
            </w:pPr>
            <w:r>
              <w:rPr>
                <w:rFonts w:cs="Arial"/>
                <w:sz w:val="16"/>
                <w:szCs w:val="16"/>
                <w:lang w:eastAsia="en-AU"/>
              </w:rPr>
              <w:t>Broad</w:t>
            </w:r>
            <w:r w:rsidR="000161DC">
              <w:rPr>
                <w:rFonts w:cs="Arial"/>
                <w:sz w:val="16"/>
                <w:szCs w:val="16"/>
                <w:lang w:eastAsia="en-AU"/>
              </w:rPr>
              <w:t xml:space="preserve"> relief</w:t>
            </w:r>
            <w:r w:rsidR="000161DC" w:rsidRPr="005B12ED">
              <w:rPr>
                <w:rFonts w:cs="Arial"/>
                <w:sz w:val="16"/>
                <w:szCs w:val="16"/>
                <w:lang w:eastAsia="en-AU"/>
              </w:rPr>
              <w:t xml:space="preserve"> </w:t>
            </w:r>
          </w:p>
        </w:tc>
        <w:tc>
          <w:tcPr>
            <w:tcW w:w="1894" w:type="dxa"/>
          </w:tcPr>
          <w:p w:rsidR="000161DC" w:rsidRPr="005B12ED" w:rsidRDefault="000161DC" w:rsidP="00E14EE9">
            <w:pPr>
              <w:pStyle w:val="Tabletext"/>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sidRPr="005B12ED">
              <w:rPr>
                <w:rFonts w:cs="Arial"/>
                <w:sz w:val="16"/>
                <w:szCs w:val="16"/>
                <w:lang w:eastAsia="en-AU"/>
              </w:rPr>
              <w:t xml:space="preserve">Multi-resolution </w:t>
            </w:r>
            <w:r w:rsidR="00E27AF5">
              <w:rPr>
                <w:rFonts w:cs="Arial"/>
                <w:sz w:val="16"/>
                <w:szCs w:val="16"/>
                <w:lang w:eastAsia="en-AU"/>
              </w:rPr>
              <w:t>v</w:t>
            </w:r>
            <w:r w:rsidRPr="005B12ED">
              <w:rPr>
                <w:rFonts w:cs="Arial"/>
                <w:sz w:val="16"/>
                <w:szCs w:val="16"/>
                <w:lang w:eastAsia="en-AU"/>
              </w:rPr>
              <w:t xml:space="preserve">alley </w:t>
            </w:r>
            <w:r w:rsidR="00E27AF5">
              <w:rPr>
                <w:rFonts w:cs="Arial"/>
                <w:sz w:val="16"/>
                <w:szCs w:val="16"/>
                <w:lang w:eastAsia="en-AU"/>
              </w:rPr>
              <w:t>b</w:t>
            </w:r>
            <w:r w:rsidRPr="005B12ED">
              <w:rPr>
                <w:rFonts w:cs="Arial"/>
                <w:sz w:val="16"/>
                <w:szCs w:val="16"/>
                <w:lang w:eastAsia="en-AU"/>
              </w:rPr>
              <w:t xml:space="preserve">ottom </w:t>
            </w:r>
            <w:r w:rsidR="00E27AF5">
              <w:rPr>
                <w:rFonts w:cs="Arial"/>
                <w:sz w:val="16"/>
                <w:szCs w:val="16"/>
                <w:lang w:eastAsia="en-AU"/>
              </w:rPr>
              <w:t>f</w:t>
            </w:r>
            <w:r w:rsidRPr="005B12ED">
              <w:rPr>
                <w:rFonts w:cs="Arial"/>
                <w:sz w:val="16"/>
                <w:szCs w:val="16"/>
                <w:lang w:eastAsia="en-AU"/>
              </w:rPr>
              <w:t>latness (MrVBF</w:t>
            </w:r>
            <w:r>
              <w:rPr>
                <w:rFonts w:cs="Arial"/>
                <w:sz w:val="16"/>
                <w:szCs w:val="16"/>
                <w:lang w:eastAsia="en-AU"/>
              </w:rPr>
              <w:t>)</w:t>
            </w:r>
            <w:r w:rsidR="00552974">
              <w:rPr>
                <w:rFonts w:cs="Arial"/>
                <w:sz w:val="16"/>
                <w:szCs w:val="16"/>
                <w:lang w:eastAsia="en-AU"/>
              </w:rPr>
              <w:t xml:space="preserve"> and  Ridge</w:t>
            </w:r>
            <w:r w:rsidR="00552974" w:rsidRPr="005B12ED">
              <w:rPr>
                <w:rFonts w:cs="Arial"/>
                <w:sz w:val="16"/>
                <w:szCs w:val="16"/>
                <w:lang w:eastAsia="en-AU"/>
              </w:rPr>
              <w:t xml:space="preserve"> </w:t>
            </w:r>
            <w:r w:rsidR="00552974">
              <w:rPr>
                <w:rFonts w:cs="Arial"/>
                <w:sz w:val="16"/>
                <w:szCs w:val="16"/>
                <w:lang w:eastAsia="en-AU"/>
              </w:rPr>
              <w:t>Top</w:t>
            </w:r>
            <w:r w:rsidR="00552974" w:rsidRPr="005B12ED">
              <w:rPr>
                <w:rFonts w:cs="Arial"/>
                <w:sz w:val="16"/>
                <w:szCs w:val="16"/>
                <w:lang w:eastAsia="en-AU"/>
              </w:rPr>
              <w:t xml:space="preserve"> Flatness (Mr</w:t>
            </w:r>
            <w:r w:rsidR="00552974">
              <w:rPr>
                <w:rFonts w:cs="Arial"/>
                <w:sz w:val="16"/>
                <w:szCs w:val="16"/>
                <w:lang w:eastAsia="en-AU"/>
              </w:rPr>
              <w:t>RT</w:t>
            </w:r>
            <w:r w:rsidR="00552974" w:rsidRPr="005B12ED">
              <w:rPr>
                <w:rFonts w:cs="Arial"/>
                <w:sz w:val="16"/>
                <w:szCs w:val="16"/>
                <w:lang w:eastAsia="en-AU"/>
              </w:rPr>
              <w:t>F</w:t>
            </w:r>
            <w:r w:rsidR="00552974">
              <w:rPr>
                <w:rFonts w:cs="Arial"/>
                <w:sz w:val="16"/>
                <w:szCs w:val="16"/>
                <w:lang w:eastAsia="en-AU"/>
              </w:rPr>
              <w:t>)</w:t>
            </w:r>
          </w:p>
        </w:tc>
        <w:tc>
          <w:tcPr>
            <w:tcW w:w="4709" w:type="dxa"/>
          </w:tcPr>
          <w:p w:rsidR="000161DC" w:rsidRPr="005B12ED" w:rsidRDefault="000161DC" w:rsidP="00444CEC">
            <w:pPr>
              <w:pStyle w:val="Tabletext"/>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Pr>
                <w:rFonts w:cs="Arial"/>
                <w:sz w:val="16"/>
                <w:szCs w:val="16"/>
                <w:lang w:eastAsia="en-AU"/>
              </w:rPr>
              <w:t xml:space="preserve">Produced </w:t>
            </w:r>
            <w:r w:rsidR="00E27AF5">
              <w:rPr>
                <w:rFonts w:cs="Arial"/>
                <w:sz w:val="16"/>
                <w:szCs w:val="16"/>
                <w:lang w:eastAsia="en-AU"/>
              </w:rPr>
              <w:t>in S</w:t>
            </w:r>
            <w:r>
              <w:rPr>
                <w:rFonts w:cs="Arial"/>
                <w:sz w:val="16"/>
                <w:szCs w:val="16"/>
                <w:lang w:eastAsia="en-AU"/>
              </w:rPr>
              <w:t xml:space="preserve">AGA GIS using the MrVBF tool </w:t>
            </w:r>
            <w:r>
              <w:rPr>
                <w:rFonts w:cs="Arial"/>
                <w:sz w:val="16"/>
                <w:szCs w:val="16"/>
                <w:lang w:val="de-CH"/>
              </w:rPr>
              <w:t xml:space="preserve">developed by Conrad, O. (2006) that is based on </w:t>
            </w:r>
            <w:r>
              <w:rPr>
                <w:rFonts w:cs="Arial"/>
                <w:sz w:val="16"/>
                <w:szCs w:val="16"/>
                <w:lang w:val="de-CH"/>
              </w:rPr>
              <w:fldChar w:fldCharType="begin"/>
            </w:r>
            <w:r>
              <w:rPr>
                <w:rFonts w:cs="Arial"/>
                <w:sz w:val="16"/>
                <w:szCs w:val="16"/>
                <w:lang w:val="de-CH"/>
              </w:rPr>
              <w:instrText>ADDIN RW.CITE{{446 Gallant, J.C. 2003}}</w:instrText>
            </w:r>
            <w:r>
              <w:rPr>
                <w:rFonts w:cs="Arial"/>
                <w:sz w:val="16"/>
                <w:szCs w:val="16"/>
                <w:lang w:val="de-CH"/>
              </w:rPr>
              <w:fldChar w:fldCharType="separate"/>
            </w:r>
            <w:r w:rsidR="00444CEC">
              <w:rPr>
                <w:rFonts w:cs="Arial"/>
                <w:sz w:val="16"/>
                <w:szCs w:val="16"/>
              </w:rPr>
              <w:t>(Gallant and Dowling 2003)</w:t>
            </w:r>
            <w:r>
              <w:rPr>
                <w:rFonts w:cs="Arial"/>
                <w:sz w:val="16"/>
                <w:szCs w:val="16"/>
                <w:lang w:val="de-CH"/>
              </w:rPr>
              <w:fldChar w:fldCharType="end"/>
            </w:r>
            <w:r>
              <w:rPr>
                <w:rFonts w:cs="Arial"/>
                <w:sz w:val="16"/>
                <w:szCs w:val="16"/>
                <w:lang w:val="de-CH"/>
              </w:rPr>
              <w:t xml:space="preserve">. Input data </w:t>
            </w:r>
            <w:r w:rsidR="00E27AF5">
              <w:rPr>
                <w:rFonts w:cs="Arial"/>
                <w:sz w:val="16"/>
                <w:szCs w:val="16"/>
                <w:lang w:val="de-CH"/>
              </w:rPr>
              <w:t xml:space="preserve">used </w:t>
            </w:r>
            <w:r>
              <w:rPr>
                <w:rFonts w:cs="Arial"/>
                <w:sz w:val="16"/>
                <w:szCs w:val="16"/>
                <w:lang w:val="de-CH"/>
              </w:rPr>
              <w:t xml:space="preserve">was </w:t>
            </w:r>
            <w:r w:rsidRPr="005B12ED">
              <w:rPr>
                <w:rFonts w:cs="Arial"/>
                <w:sz w:val="16"/>
                <w:szCs w:val="16"/>
                <w:lang w:val="de-CH"/>
              </w:rPr>
              <w:t>3” SRTM Derived Digital Elevation Model (DEM) version 1.0</w:t>
            </w:r>
            <w:r>
              <w:rPr>
                <w:rFonts w:cs="Arial"/>
                <w:sz w:val="16"/>
                <w:szCs w:val="16"/>
                <w:lang w:val="de-CH"/>
              </w:rPr>
              <w:t>. Output is continious, not classified.</w:t>
            </w:r>
            <w:r>
              <w:rPr>
                <w:rFonts w:cs="Arial"/>
                <w:sz w:val="16"/>
                <w:szCs w:val="16"/>
                <w:lang w:eastAsia="en-AU"/>
              </w:rPr>
              <w:t xml:space="preserve"> </w:t>
            </w:r>
          </w:p>
        </w:tc>
        <w:tc>
          <w:tcPr>
            <w:tcW w:w="2193" w:type="dxa"/>
          </w:tcPr>
          <w:p w:rsidR="000161DC" w:rsidRPr="005B12ED" w:rsidRDefault="000161DC" w:rsidP="00E14EE9">
            <w:pPr>
              <w:pStyle w:val="Tabletext"/>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Pr>
                <w:rFonts w:cs="Arial"/>
                <w:sz w:val="16"/>
                <w:szCs w:val="16"/>
                <w:lang w:eastAsia="en-AU"/>
              </w:rPr>
              <w:t>{{446 Gallant, J.C. 2003}}</w:t>
            </w:r>
          </w:p>
        </w:tc>
      </w:tr>
      <w:tr w:rsidR="000161DC" w:rsidTr="00552974">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161DC" w:rsidRPr="005B12ED" w:rsidRDefault="00552974" w:rsidP="00E14EE9">
            <w:pPr>
              <w:pStyle w:val="Tabletext"/>
              <w:rPr>
                <w:rFonts w:cs="Arial"/>
                <w:sz w:val="16"/>
                <w:szCs w:val="16"/>
                <w:lang w:eastAsia="en-AU"/>
              </w:rPr>
            </w:pPr>
            <w:r>
              <w:rPr>
                <w:rFonts w:cs="Arial"/>
                <w:sz w:val="16"/>
                <w:szCs w:val="16"/>
                <w:lang w:eastAsia="en-AU"/>
              </w:rPr>
              <w:t>Parent material</w:t>
            </w:r>
            <w:r w:rsidR="001F55B1">
              <w:rPr>
                <w:rFonts w:cs="Arial"/>
                <w:sz w:val="16"/>
                <w:szCs w:val="16"/>
                <w:lang w:eastAsia="en-AU"/>
              </w:rPr>
              <w:t xml:space="preserve"> type</w:t>
            </w:r>
          </w:p>
        </w:tc>
        <w:tc>
          <w:tcPr>
            <w:tcW w:w="1894" w:type="dxa"/>
          </w:tcPr>
          <w:p w:rsidR="000161DC" w:rsidRPr="005B12ED" w:rsidRDefault="00552974" w:rsidP="00E14EE9">
            <w:pPr>
              <w:pStyle w:val="Tabletext"/>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Pr>
                <w:rFonts w:cs="Arial"/>
                <w:sz w:val="16"/>
                <w:szCs w:val="16"/>
                <w:lang w:eastAsia="en-AU"/>
              </w:rPr>
              <w:t xml:space="preserve">Radiometric potassium; </w:t>
            </w:r>
            <w:r w:rsidRPr="005B12ED">
              <w:rPr>
                <w:rFonts w:cs="Arial"/>
                <w:sz w:val="16"/>
                <w:szCs w:val="16"/>
                <w:lang w:eastAsia="en-AU"/>
              </w:rPr>
              <w:t xml:space="preserve"> </w:t>
            </w:r>
            <w:r>
              <w:rPr>
                <w:rFonts w:cs="Arial"/>
                <w:sz w:val="16"/>
                <w:szCs w:val="16"/>
                <w:lang w:eastAsia="en-AU"/>
              </w:rPr>
              <w:t xml:space="preserve">thorium; uranium; total dose/count </w:t>
            </w:r>
          </w:p>
        </w:tc>
        <w:tc>
          <w:tcPr>
            <w:tcW w:w="4709" w:type="dxa"/>
          </w:tcPr>
          <w:p w:rsidR="000161DC" w:rsidRPr="005B12ED" w:rsidRDefault="00552974" w:rsidP="00444CEC">
            <w:pPr>
              <w:pStyle w:val="Tabletext"/>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r>
              <w:rPr>
                <w:rFonts w:cs="Arial"/>
                <w:sz w:val="16"/>
                <w:szCs w:val="16"/>
                <w:lang w:eastAsia="en-AU"/>
              </w:rPr>
              <w:t xml:space="preserve">Produced using Cubist as implemented by </w:t>
            </w:r>
            <w:r>
              <w:rPr>
                <w:rFonts w:cs="Arial"/>
                <w:sz w:val="16"/>
                <w:szCs w:val="16"/>
                <w:lang w:eastAsia="en-AU"/>
              </w:rPr>
              <w:fldChar w:fldCharType="begin"/>
            </w:r>
            <w:r>
              <w:rPr>
                <w:rFonts w:cs="Arial"/>
                <w:sz w:val="16"/>
                <w:szCs w:val="16"/>
                <w:lang w:eastAsia="en-AU"/>
              </w:rPr>
              <w:instrText>ADDIN RW.CITE{{333 Kidd,Darren 2015}}</w:instrText>
            </w:r>
            <w:r>
              <w:rPr>
                <w:rFonts w:cs="Arial"/>
                <w:sz w:val="16"/>
                <w:szCs w:val="16"/>
                <w:lang w:eastAsia="en-AU"/>
              </w:rPr>
              <w:fldChar w:fldCharType="separate"/>
            </w:r>
            <w:r w:rsidR="00444CEC">
              <w:rPr>
                <w:rFonts w:cs="Arial"/>
                <w:sz w:val="16"/>
                <w:szCs w:val="16"/>
              </w:rPr>
              <w:t>(Kidd</w:t>
            </w:r>
            <w:r w:rsidR="00444CEC">
              <w:rPr>
                <w:rFonts w:cs="Arial"/>
                <w:i/>
                <w:iCs/>
                <w:sz w:val="16"/>
                <w:szCs w:val="16"/>
              </w:rPr>
              <w:t xml:space="preserve"> et al.</w:t>
            </w:r>
            <w:r w:rsidR="00444CEC">
              <w:rPr>
                <w:rFonts w:cs="Arial"/>
                <w:sz w:val="16"/>
                <w:szCs w:val="16"/>
              </w:rPr>
              <w:t xml:space="preserve"> 2015)</w:t>
            </w:r>
            <w:r>
              <w:rPr>
                <w:rFonts w:cs="Arial"/>
                <w:sz w:val="16"/>
                <w:szCs w:val="16"/>
                <w:lang w:eastAsia="en-AU"/>
              </w:rPr>
              <w:fldChar w:fldCharType="end"/>
            </w:r>
            <w:r>
              <w:rPr>
                <w:rFonts w:cs="Arial"/>
                <w:sz w:val="16"/>
                <w:szCs w:val="16"/>
                <w:lang w:eastAsia="en-AU"/>
              </w:rPr>
              <w:t xml:space="preserve"> radiometric data sampled from </w:t>
            </w:r>
            <w:proofErr w:type="spellStart"/>
            <w:r>
              <w:rPr>
                <w:rFonts w:cs="Arial"/>
                <w:sz w:val="16"/>
                <w:szCs w:val="16"/>
                <w:lang w:eastAsia="en-AU"/>
              </w:rPr>
              <w:t>RadMap</w:t>
            </w:r>
            <w:proofErr w:type="spellEnd"/>
            <w:r>
              <w:rPr>
                <w:rFonts w:cs="Arial"/>
                <w:sz w:val="16"/>
                <w:szCs w:val="16"/>
                <w:lang w:eastAsia="en-AU"/>
              </w:rPr>
              <w:t xml:space="preserve"> v3 2015 </w:t>
            </w:r>
            <w:r>
              <w:rPr>
                <w:rFonts w:cs="Arial"/>
                <w:sz w:val="16"/>
                <w:szCs w:val="16"/>
                <w:lang w:eastAsia="en-AU"/>
              </w:rPr>
              <w:fldChar w:fldCharType="begin"/>
            </w:r>
            <w:r>
              <w:rPr>
                <w:rFonts w:cs="Arial"/>
                <w:sz w:val="16"/>
                <w:szCs w:val="16"/>
                <w:lang w:eastAsia="en-AU"/>
              </w:rPr>
              <w:instrText>ADDIN RW.CITE{{147 Nakamura, A. 2015}}</w:instrText>
            </w:r>
            <w:r>
              <w:rPr>
                <w:rFonts w:cs="Arial"/>
                <w:sz w:val="16"/>
                <w:szCs w:val="16"/>
                <w:lang w:eastAsia="en-AU"/>
              </w:rPr>
              <w:fldChar w:fldCharType="separate"/>
            </w:r>
            <w:r w:rsidR="00444CEC">
              <w:rPr>
                <w:rFonts w:cs="Arial"/>
                <w:sz w:val="16"/>
                <w:szCs w:val="16"/>
              </w:rPr>
              <w:t>(Nakamura and Milligan 2015)</w:t>
            </w:r>
            <w:r>
              <w:rPr>
                <w:rFonts w:cs="Arial"/>
                <w:sz w:val="16"/>
                <w:szCs w:val="16"/>
                <w:lang w:eastAsia="en-AU"/>
              </w:rPr>
              <w:fldChar w:fldCharType="end"/>
            </w:r>
            <w:r>
              <w:rPr>
                <w:rFonts w:cs="Arial"/>
                <w:sz w:val="16"/>
                <w:szCs w:val="16"/>
                <w:lang w:eastAsia="en-AU"/>
              </w:rPr>
              <w:t xml:space="preserve"> and covariates including </w:t>
            </w:r>
            <w:r>
              <w:rPr>
                <w:rFonts w:cs="Arial"/>
                <w:sz w:val="16"/>
                <w:szCs w:val="16"/>
                <w:lang w:eastAsia="en-AU"/>
              </w:rPr>
              <w:fldChar w:fldCharType="begin"/>
            </w:r>
            <w:r>
              <w:rPr>
                <w:rFonts w:cs="Arial"/>
                <w:sz w:val="16"/>
                <w:szCs w:val="16"/>
                <w:lang w:eastAsia="en-AU"/>
              </w:rPr>
              <w:instrText>ADDIN RW.CITE{{86 Liu, S. 2012}}</w:instrText>
            </w:r>
            <w:r>
              <w:rPr>
                <w:rFonts w:cs="Arial"/>
                <w:sz w:val="16"/>
                <w:szCs w:val="16"/>
                <w:lang w:eastAsia="en-AU"/>
              </w:rPr>
              <w:fldChar w:fldCharType="separate"/>
            </w:r>
            <w:r w:rsidR="00444CEC">
              <w:rPr>
                <w:rFonts w:cs="Arial"/>
                <w:sz w:val="16"/>
                <w:szCs w:val="16"/>
              </w:rPr>
              <w:t>(Liu</w:t>
            </w:r>
            <w:r w:rsidR="00444CEC">
              <w:rPr>
                <w:rFonts w:cs="Arial"/>
                <w:i/>
                <w:iCs/>
                <w:sz w:val="16"/>
                <w:szCs w:val="16"/>
              </w:rPr>
              <w:t xml:space="preserve"> et al.</w:t>
            </w:r>
            <w:r w:rsidR="00444CEC">
              <w:rPr>
                <w:rFonts w:cs="Arial"/>
                <w:sz w:val="16"/>
                <w:szCs w:val="16"/>
              </w:rPr>
              <w:t xml:space="preserve"> 2012)</w:t>
            </w:r>
            <w:r>
              <w:rPr>
                <w:rFonts w:cs="Arial"/>
                <w:sz w:val="16"/>
                <w:szCs w:val="16"/>
                <w:lang w:eastAsia="en-AU"/>
              </w:rPr>
              <w:fldChar w:fldCharType="end"/>
            </w:r>
          </w:p>
        </w:tc>
        <w:tc>
          <w:tcPr>
            <w:tcW w:w="2193" w:type="dxa"/>
          </w:tcPr>
          <w:p w:rsidR="000161DC" w:rsidRPr="005B12ED" w:rsidRDefault="000161DC" w:rsidP="00E14EE9">
            <w:pPr>
              <w:pStyle w:val="Tabletext"/>
              <w:cnfStyle w:val="000000000000" w:firstRow="0" w:lastRow="0" w:firstColumn="0" w:lastColumn="0" w:oddVBand="0" w:evenVBand="0" w:oddHBand="0" w:evenHBand="0" w:firstRowFirstColumn="0" w:firstRowLastColumn="0" w:lastRowFirstColumn="0" w:lastRowLastColumn="0"/>
              <w:rPr>
                <w:rFonts w:cs="Arial"/>
                <w:sz w:val="16"/>
                <w:szCs w:val="16"/>
                <w:lang w:eastAsia="en-AU"/>
              </w:rPr>
            </w:pPr>
          </w:p>
        </w:tc>
      </w:tr>
      <w:tr w:rsidR="001F55B1" w:rsidTr="00552974">
        <w:tblPrEx>
          <w:tblCellMar>
            <w:top w:w="85" w:type="dxa"/>
            <w:left w:w="113" w:type="dxa"/>
            <w:right w:w="113" w:type="dxa"/>
          </w:tblCellMar>
        </w:tblPrEx>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1F55B1" w:rsidRDefault="001F55B1" w:rsidP="00E14EE9">
            <w:pPr>
              <w:pStyle w:val="Tabletext"/>
              <w:rPr>
                <w:rFonts w:cs="Arial"/>
                <w:sz w:val="16"/>
                <w:szCs w:val="16"/>
                <w:lang w:eastAsia="en-AU"/>
              </w:rPr>
            </w:pPr>
            <w:r>
              <w:rPr>
                <w:rFonts w:cs="Arial"/>
                <w:sz w:val="16"/>
                <w:szCs w:val="16"/>
                <w:lang w:eastAsia="en-AU"/>
              </w:rPr>
              <w:t>Parent material weathering</w:t>
            </w:r>
          </w:p>
        </w:tc>
        <w:tc>
          <w:tcPr>
            <w:tcW w:w="1894" w:type="dxa"/>
          </w:tcPr>
          <w:p w:rsidR="001F55B1" w:rsidRDefault="001F55B1" w:rsidP="00E14EE9">
            <w:pPr>
              <w:pStyle w:val="Tabletext"/>
              <w:cnfStyle w:val="010000000000" w:firstRow="0" w:lastRow="1" w:firstColumn="0" w:lastColumn="0" w:oddVBand="0" w:evenVBand="0" w:oddHBand="0" w:evenHBand="0" w:firstRowFirstColumn="0" w:firstRowLastColumn="0" w:lastRowFirstColumn="0" w:lastRowLastColumn="0"/>
              <w:rPr>
                <w:rFonts w:cs="Arial"/>
                <w:sz w:val="16"/>
                <w:szCs w:val="16"/>
                <w:lang w:eastAsia="en-AU"/>
              </w:rPr>
            </w:pPr>
            <w:r>
              <w:rPr>
                <w:rFonts w:cs="Arial"/>
                <w:sz w:val="16"/>
                <w:szCs w:val="16"/>
                <w:lang w:eastAsia="en-AU"/>
              </w:rPr>
              <w:t>Radiometric K/Th</w:t>
            </w:r>
          </w:p>
        </w:tc>
        <w:tc>
          <w:tcPr>
            <w:tcW w:w="4709" w:type="dxa"/>
          </w:tcPr>
          <w:p w:rsidR="001F55B1" w:rsidRDefault="001F55B1" w:rsidP="00E14EE9">
            <w:pPr>
              <w:pStyle w:val="Tabletext"/>
              <w:cnfStyle w:val="010000000000" w:firstRow="0" w:lastRow="1" w:firstColumn="0" w:lastColumn="0" w:oddVBand="0" w:evenVBand="0" w:oddHBand="0" w:evenHBand="0" w:firstRowFirstColumn="0" w:firstRowLastColumn="0" w:lastRowFirstColumn="0" w:lastRowLastColumn="0"/>
              <w:rPr>
                <w:rFonts w:cs="Arial"/>
                <w:sz w:val="16"/>
                <w:szCs w:val="16"/>
                <w:lang w:eastAsia="en-AU"/>
              </w:rPr>
            </w:pPr>
            <w:r>
              <w:rPr>
                <w:rFonts w:cs="Arial"/>
                <w:sz w:val="16"/>
                <w:szCs w:val="16"/>
                <w:lang w:eastAsia="en-AU"/>
              </w:rPr>
              <w:t>Calculated from the modelled radiometric K and Th covariates. A simple weathering index.</w:t>
            </w:r>
          </w:p>
        </w:tc>
        <w:tc>
          <w:tcPr>
            <w:tcW w:w="2193" w:type="dxa"/>
          </w:tcPr>
          <w:p w:rsidR="001F55B1" w:rsidRPr="005B12ED" w:rsidRDefault="001F55B1" w:rsidP="00E14EE9">
            <w:pPr>
              <w:pStyle w:val="Tabletext"/>
              <w:cnfStyle w:val="010000000000" w:firstRow="0" w:lastRow="1" w:firstColumn="0" w:lastColumn="0" w:oddVBand="0" w:evenVBand="0" w:oddHBand="0" w:evenHBand="0" w:firstRowFirstColumn="0" w:firstRowLastColumn="0" w:lastRowFirstColumn="0" w:lastRowLastColumn="0"/>
              <w:rPr>
                <w:rFonts w:cs="Arial"/>
                <w:sz w:val="16"/>
                <w:szCs w:val="16"/>
                <w:lang w:eastAsia="en-AU"/>
              </w:rPr>
            </w:pPr>
          </w:p>
        </w:tc>
      </w:tr>
    </w:tbl>
    <w:p w:rsidR="00966B49" w:rsidRDefault="00966B49"/>
    <w:p w:rsidR="000B59E0" w:rsidRDefault="000B59E0" w:rsidP="000B59E0">
      <w:pPr>
        <w:pStyle w:val="Caption"/>
        <w:keepNext/>
      </w:pPr>
      <w:r>
        <w:t xml:space="preserve">Table </w:t>
      </w:r>
      <w:r w:rsidR="00444CEC">
        <w:fldChar w:fldCharType="begin"/>
      </w:r>
      <w:r w:rsidR="00444CEC">
        <w:instrText xml:space="preserve"> SEQ Table \* ARABIC </w:instrText>
      </w:r>
      <w:r w:rsidR="00444CEC">
        <w:fldChar w:fldCharType="separate"/>
      </w:r>
      <w:r w:rsidR="00E14EE9">
        <w:rPr>
          <w:noProof/>
        </w:rPr>
        <w:t>2</w:t>
      </w:r>
      <w:r w:rsidR="00444CEC">
        <w:rPr>
          <w:noProof/>
        </w:rPr>
        <w:fldChar w:fldCharType="end"/>
      </w:r>
      <w:r>
        <w:t xml:space="preserve">. </w:t>
      </w:r>
      <w:r w:rsidR="000161DC">
        <w:t>C</w:t>
      </w:r>
      <w:r>
        <w:t xml:space="preserve">ovariates </w:t>
      </w:r>
      <w:r w:rsidR="000161DC">
        <w:t>supplied by TERN in 2012</w:t>
      </w:r>
    </w:p>
    <w:tbl>
      <w:tblPr>
        <w:tblStyle w:val="DSITIA-Blue"/>
        <w:tblpPr w:leftFromText="180" w:rightFromText="180" w:vertAnchor="text" w:tblpX="6" w:tblpY="1"/>
        <w:tblOverlap w:val="never"/>
        <w:tblW w:w="10122" w:type="dxa"/>
        <w:tblLook w:val="01E0" w:firstRow="1" w:lastRow="1" w:firstColumn="1" w:lastColumn="1" w:noHBand="0" w:noVBand="0"/>
      </w:tblPr>
      <w:tblGrid>
        <w:gridCol w:w="1928"/>
        <w:gridCol w:w="1842"/>
        <w:gridCol w:w="4301"/>
        <w:gridCol w:w="2051"/>
      </w:tblGrid>
      <w:tr w:rsidR="000B59E0" w:rsidRPr="00E14EE9" w:rsidTr="00E14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0B59E0" w:rsidP="00E14EE9">
            <w:pPr>
              <w:pStyle w:val="Tableheadings"/>
            </w:pPr>
            <w:r w:rsidRPr="00E14EE9">
              <w:rPr>
                <w:lang w:eastAsia="en-AU"/>
              </w:rPr>
              <w:t>S</w:t>
            </w:r>
            <w:r w:rsidR="00E14EE9" w:rsidRPr="00E14EE9">
              <w:rPr>
                <w:lang w:eastAsia="en-AU"/>
              </w:rPr>
              <w:t>C</w:t>
            </w:r>
            <w:r w:rsidRPr="00E14EE9">
              <w:rPr>
                <w:lang w:eastAsia="en-AU"/>
              </w:rPr>
              <w:t>ORPAN factor</w:t>
            </w:r>
          </w:p>
        </w:tc>
        <w:tc>
          <w:tcPr>
            <w:tcW w:w="1895" w:type="dxa"/>
          </w:tcPr>
          <w:p w:rsidR="000B59E0" w:rsidRPr="00E14EE9" w:rsidRDefault="000B59E0" w:rsidP="00E14EE9">
            <w:pPr>
              <w:pStyle w:val="Tableheadings"/>
              <w:cnfStyle w:val="100000000000" w:firstRow="1" w:lastRow="0" w:firstColumn="0" w:lastColumn="0" w:oddVBand="0" w:evenVBand="0" w:oddHBand="0" w:evenHBand="0" w:firstRowFirstColumn="0" w:firstRowLastColumn="0" w:lastRowFirstColumn="0" w:lastRowLastColumn="0"/>
            </w:pPr>
            <w:r w:rsidRPr="00E14EE9">
              <w:rPr>
                <w:lang w:eastAsia="en-AU"/>
              </w:rPr>
              <w:t>Covariate</w:t>
            </w:r>
          </w:p>
        </w:tc>
        <w:tc>
          <w:tcPr>
            <w:tcW w:w="4712" w:type="dxa"/>
          </w:tcPr>
          <w:p w:rsidR="000B59E0" w:rsidRPr="00E14EE9" w:rsidRDefault="000B59E0" w:rsidP="00E14EE9">
            <w:pPr>
              <w:pStyle w:val="Tableheadings"/>
              <w:cnfStyle w:val="100000000000" w:firstRow="1" w:lastRow="0" w:firstColumn="0" w:lastColumn="0" w:oddVBand="0" w:evenVBand="0" w:oddHBand="0" w:evenHBand="0" w:firstRowFirstColumn="0" w:firstRowLastColumn="0" w:lastRowFirstColumn="0" w:lastRowLastColumn="0"/>
            </w:pPr>
            <w:r w:rsidRPr="00E14EE9">
              <w:rPr>
                <w:lang w:eastAsia="en-AU"/>
              </w:rPr>
              <w:t>Details</w:t>
            </w:r>
          </w:p>
        </w:tc>
        <w:tc>
          <w:tcPr>
            <w:tcW w:w="2189" w:type="dxa"/>
          </w:tcPr>
          <w:p w:rsidR="000B59E0" w:rsidRPr="00E14EE9" w:rsidRDefault="000B59E0" w:rsidP="00E14EE9">
            <w:pPr>
              <w:pStyle w:val="Tableheadings"/>
              <w:cnfStyle w:val="100000000000" w:firstRow="1" w:lastRow="0" w:firstColumn="0" w:lastColumn="0" w:oddVBand="0" w:evenVBand="0" w:oddHBand="0" w:evenHBand="0" w:firstRowFirstColumn="0" w:firstRowLastColumn="0" w:lastRowFirstColumn="0" w:lastRowLastColumn="0"/>
            </w:pPr>
            <w:r w:rsidRPr="00E14EE9">
              <w:rPr>
                <w:lang w:eastAsia="en-AU"/>
              </w:rPr>
              <w:t>Reference</w:t>
            </w:r>
          </w:p>
        </w:tc>
      </w:tr>
      <w:tr w:rsidR="00E14EE9"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E14EE9" w:rsidRPr="00E14EE9" w:rsidRDefault="00E14EE9" w:rsidP="00E14EE9">
            <w:pPr>
              <w:pStyle w:val="Tabletext"/>
              <w:rPr>
                <w:sz w:val="18"/>
                <w:szCs w:val="18"/>
              </w:rPr>
            </w:pPr>
            <w:r w:rsidRPr="00E14EE9">
              <w:rPr>
                <w:sz w:val="18"/>
                <w:szCs w:val="18"/>
                <w:lang w:eastAsia="en-AU"/>
              </w:rPr>
              <w:t>Climate</w:t>
            </w:r>
          </w:p>
        </w:tc>
        <w:tc>
          <w:tcPr>
            <w:tcW w:w="1895"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Average daily rainfall – winter</w:t>
            </w:r>
          </w:p>
        </w:tc>
        <w:tc>
          <w:tcPr>
            <w:tcW w:w="4712"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lang w:eastAsia="en-AU"/>
              </w:rPr>
              <w:t>Acquired by the TERN funded project in 2012 from the Bureau of Meteorology, metadata unknown</w:t>
            </w:r>
          </w:p>
        </w:tc>
        <w:tc>
          <w:tcPr>
            <w:tcW w:w="2189"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p>
        </w:tc>
      </w:tr>
      <w:tr w:rsidR="00E14EE9"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E14EE9" w:rsidRPr="00E14EE9" w:rsidRDefault="00E14EE9" w:rsidP="00E14EE9">
            <w:pPr>
              <w:pStyle w:val="Tabletext"/>
              <w:rPr>
                <w:sz w:val="18"/>
                <w:szCs w:val="18"/>
              </w:rPr>
            </w:pPr>
            <w:r w:rsidRPr="00E14EE9">
              <w:rPr>
                <w:sz w:val="18"/>
                <w:szCs w:val="18"/>
                <w:lang w:eastAsia="en-AU"/>
              </w:rPr>
              <w:t>Climate</w:t>
            </w:r>
          </w:p>
        </w:tc>
        <w:tc>
          <w:tcPr>
            <w:tcW w:w="1895"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Average daily minimum temperatures - winter</w:t>
            </w:r>
          </w:p>
        </w:tc>
        <w:tc>
          <w:tcPr>
            <w:tcW w:w="4712"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lang w:eastAsia="en-AU"/>
              </w:rPr>
              <w:t>Acquired by the TERN funded project in 2012 from the Bureau of Meteorology, metadata unknown</w:t>
            </w:r>
          </w:p>
        </w:tc>
        <w:tc>
          <w:tcPr>
            <w:tcW w:w="2189"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p>
        </w:tc>
      </w:tr>
      <w:tr w:rsidR="00E14EE9"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E14EE9" w:rsidRPr="00E14EE9" w:rsidRDefault="00E14EE9" w:rsidP="00E14EE9">
            <w:pPr>
              <w:pStyle w:val="Tabletext"/>
              <w:rPr>
                <w:sz w:val="18"/>
                <w:szCs w:val="18"/>
                <w:lang w:eastAsia="en-AU"/>
              </w:rPr>
            </w:pPr>
            <w:r w:rsidRPr="00E14EE9">
              <w:rPr>
                <w:sz w:val="18"/>
                <w:szCs w:val="18"/>
                <w:lang w:eastAsia="en-AU"/>
              </w:rPr>
              <w:t>Climate</w:t>
            </w:r>
          </w:p>
        </w:tc>
        <w:tc>
          <w:tcPr>
            <w:tcW w:w="1895"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1” SRTM derived Prescott Index as modified by Linda Gregory</w:t>
            </w:r>
          </w:p>
        </w:tc>
        <w:tc>
          <w:tcPr>
            <w:tcW w:w="4712" w:type="dxa"/>
          </w:tcPr>
          <w:p w:rsidR="00E14EE9" w:rsidRPr="00E14EE9" w:rsidRDefault="00E14EE9" w:rsidP="00444CEC">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rPr>
              <w:t>Based on Prescott (</w:t>
            </w:r>
            <w:r w:rsidRPr="00E14EE9">
              <w:rPr>
                <w:sz w:val="18"/>
                <w:szCs w:val="18"/>
              </w:rPr>
              <w:fldChar w:fldCharType="begin"/>
            </w:r>
            <w:r w:rsidRPr="00E14EE9">
              <w:rPr>
                <w:sz w:val="18"/>
                <w:szCs w:val="18"/>
              </w:rPr>
              <w:instrText>ADDIN RW.CITE{{87 Prescott, J.A. 1950}}</w:instrText>
            </w:r>
            <w:r w:rsidRPr="00E14EE9">
              <w:rPr>
                <w:sz w:val="18"/>
                <w:szCs w:val="18"/>
              </w:rPr>
              <w:fldChar w:fldCharType="separate"/>
            </w:r>
            <w:r w:rsidR="00444CEC">
              <w:rPr>
                <w:rFonts w:cs="Arial"/>
                <w:sz w:val="18"/>
                <w:szCs w:val="18"/>
              </w:rPr>
              <w:t>(Prescott 1950)</w:t>
            </w:r>
            <w:r w:rsidRPr="00E14EE9">
              <w:rPr>
                <w:sz w:val="18"/>
                <w:szCs w:val="18"/>
              </w:rPr>
              <w:fldChar w:fldCharType="end"/>
            </w:r>
            <w:r w:rsidRPr="00E14EE9">
              <w:rPr>
                <w:sz w:val="18"/>
                <w:szCs w:val="18"/>
              </w:rPr>
              <w:t>)</w:t>
            </w:r>
          </w:p>
        </w:tc>
        <w:tc>
          <w:tcPr>
            <w:tcW w:w="2189" w:type="dxa"/>
          </w:tcPr>
          <w:p w:rsidR="00E14EE9" w:rsidRPr="00E14EE9" w:rsidRDefault="00E14EE9" w:rsidP="00444CEC">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fldChar w:fldCharType="begin"/>
            </w:r>
            <w:r w:rsidRPr="00E14EE9">
              <w:rPr>
                <w:sz w:val="18"/>
                <w:szCs w:val="18"/>
                <w:lang w:eastAsia="en-AU"/>
              </w:rPr>
              <w:instrText>ADDIN RW.CITE{{436 Gallant, J.C. 2012}}</w:instrText>
            </w:r>
            <w:r w:rsidRPr="00E14EE9">
              <w:rPr>
                <w:sz w:val="18"/>
                <w:szCs w:val="18"/>
                <w:lang w:eastAsia="en-AU"/>
              </w:rPr>
              <w:fldChar w:fldCharType="separate"/>
            </w:r>
            <w:r w:rsidR="00444CEC">
              <w:rPr>
                <w:rFonts w:cs="Arial"/>
                <w:sz w:val="18"/>
                <w:szCs w:val="18"/>
              </w:rPr>
              <w:t>(Gallant and Austin 2012b)</w:t>
            </w:r>
            <w:r w:rsidRPr="00E14EE9">
              <w:rPr>
                <w:sz w:val="18"/>
                <w:szCs w:val="18"/>
                <w:lang w:eastAsia="en-AU"/>
              </w:rPr>
              <w:fldChar w:fldCharType="end"/>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1F55B1" w:rsidP="00E14EE9">
            <w:pPr>
              <w:pStyle w:val="Tabletext"/>
              <w:rPr>
                <w:sz w:val="18"/>
                <w:szCs w:val="18"/>
                <w:lang w:eastAsia="en-AU"/>
              </w:rPr>
            </w:pPr>
            <w:r w:rsidRPr="00E14EE9">
              <w:rPr>
                <w:sz w:val="18"/>
                <w:szCs w:val="18"/>
                <w:lang w:eastAsia="en-AU"/>
              </w:rPr>
              <w:t>Parent material type</w:t>
            </w:r>
          </w:p>
        </w:tc>
        <w:tc>
          <w:tcPr>
            <w:tcW w:w="1895" w:type="dxa"/>
          </w:tcPr>
          <w:p w:rsidR="000B59E0" w:rsidRPr="00E14EE9" w:rsidRDefault="001F55B1"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Gravity</w:t>
            </w:r>
          </w:p>
        </w:tc>
        <w:tc>
          <w:tcPr>
            <w:tcW w:w="4712" w:type="dxa"/>
          </w:tcPr>
          <w:p w:rsidR="000B59E0"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rPr>
              <w:t>Gravity Anomaly Grid of the Australian Region, resolution</w:t>
            </w:r>
            <w:r w:rsidRPr="00E14EE9">
              <w:rPr>
                <w:sz w:val="18"/>
                <w:szCs w:val="18"/>
                <w:lang w:eastAsia="en-AU"/>
              </w:rPr>
              <w:t xml:space="preserve"> 0.5-arcminutes, 2008</w:t>
            </w:r>
          </w:p>
        </w:tc>
        <w:tc>
          <w:tcPr>
            <w:tcW w:w="2189" w:type="dxa"/>
          </w:tcPr>
          <w:p w:rsidR="000B59E0" w:rsidRPr="00E14EE9" w:rsidRDefault="00E14EE9" w:rsidP="00444CEC">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fldChar w:fldCharType="begin"/>
            </w:r>
            <w:r w:rsidRPr="00E14EE9">
              <w:rPr>
                <w:sz w:val="18"/>
                <w:szCs w:val="18"/>
                <w:lang w:eastAsia="en-AU"/>
              </w:rPr>
              <w:instrText>ADDIN RW.CITE{{449 Anon 2008}}</w:instrText>
            </w:r>
            <w:r w:rsidRPr="00E14EE9">
              <w:rPr>
                <w:sz w:val="18"/>
                <w:szCs w:val="18"/>
                <w:lang w:eastAsia="en-AU"/>
              </w:rPr>
              <w:fldChar w:fldCharType="separate"/>
            </w:r>
            <w:r w:rsidR="00444CEC">
              <w:rPr>
                <w:rFonts w:cs="Arial"/>
                <w:sz w:val="18"/>
                <w:szCs w:val="18"/>
              </w:rPr>
              <w:t>(Anon 2008)</w:t>
            </w:r>
            <w:r w:rsidRPr="00E14EE9">
              <w:rPr>
                <w:sz w:val="18"/>
                <w:szCs w:val="18"/>
                <w:lang w:eastAsia="en-AU"/>
              </w:rPr>
              <w:fldChar w:fldCharType="end"/>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1F55B1" w:rsidP="00E14EE9">
            <w:pPr>
              <w:pStyle w:val="Tabletext"/>
              <w:rPr>
                <w:sz w:val="18"/>
                <w:szCs w:val="18"/>
                <w:lang w:eastAsia="en-AU"/>
              </w:rPr>
            </w:pPr>
            <w:r w:rsidRPr="00E14EE9">
              <w:rPr>
                <w:sz w:val="18"/>
                <w:szCs w:val="18"/>
                <w:lang w:eastAsia="en-AU"/>
              </w:rPr>
              <w:t>Parent material type</w:t>
            </w:r>
          </w:p>
        </w:tc>
        <w:tc>
          <w:tcPr>
            <w:tcW w:w="1895" w:type="dxa"/>
          </w:tcPr>
          <w:p w:rsidR="000B59E0" w:rsidRPr="00E14EE9" w:rsidRDefault="001F55B1"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Magnetics</w:t>
            </w:r>
          </w:p>
        </w:tc>
        <w:tc>
          <w:tcPr>
            <w:tcW w:w="4712" w:type="dxa"/>
          </w:tcPr>
          <w:p w:rsidR="000B59E0"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Fifth Edition Total Magnetic Intensity (TMI) Anomaly Grid of Australia (2010)</w:t>
            </w:r>
          </w:p>
        </w:tc>
        <w:tc>
          <w:tcPr>
            <w:tcW w:w="2189" w:type="dxa"/>
          </w:tcPr>
          <w:p w:rsidR="000B59E0" w:rsidRPr="00E14EE9" w:rsidRDefault="00E14EE9" w:rsidP="00444CEC">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fldChar w:fldCharType="begin"/>
            </w:r>
            <w:r w:rsidRPr="00E14EE9">
              <w:rPr>
                <w:sz w:val="18"/>
                <w:szCs w:val="18"/>
                <w:lang w:eastAsia="en-AU"/>
              </w:rPr>
              <w:instrText>ADDIN RW.CITE{{448 Milligan, P.R. 2010}}</w:instrText>
            </w:r>
            <w:r w:rsidRPr="00E14EE9">
              <w:rPr>
                <w:sz w:val="18"/>
                <w:szCs w:val="18"/>
                <w:lang w:eastAsia="en-AU"/>
              </w:rPr>
              <w:fldChar w:fldCharType="separate"/>
            </w:r>
            <w:r w:rsidR="00444CEC">
              <w:rPr>
                <w:rFonts w:cs="Arial"/>
                <w:sz w:val="18"/>
                <w:szCs w:val="18"/>
              </w:rPr>
              <w:t>(Milligan</w:t>
            </w:r>
            <w:r w:rsidR="00444CEC">
              <w:rPr>
                <w:rFonts w:cs="Arial"/>
                <w:i/>
                <w:iCs/>
                <w:sz w:val="18"/>
                <w:szCs w:val="18"/>
              </w:rPr>
              <w:t xml:space="preserve"> et al.</w:t>
            </w:r>
            <w:r w:rsidR="00444CEC">
              <w:rPr>
                <w:rFonts w:cs="Arial"/>
                <w:sz w:val="18"/>
                <w:szCs w:val="18"/>
              </w:rPr>
              <w:t xml:space="preserve"> 2010)</w:t>
            </w:r>
            <w:r w:rsidRPr="00E14EE9">
              <w:rPr>
                <w:sz w:val="18"/>
                <w:szCs w:val="18"/>
                <w:lang w:eastAsia="en-AU"/>
              </w:rPr>
              <w:fldChar w:fldCharType="end"/>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0161DC" w:rsidP="00E14EE9">
            <w:pPr>
              <w:pStyle w:val="Tabletext"/>
              <w:rPr>
                <w:sz w:val="18"/>
                <w:szCs w:val="18"/>
                <w:lang w:eastAsia="en-AU"/>
              </w:rPr>
            </w:pPr>
            <w:r w:rsidRPr="00E14EE9">
              <w:rPr>
                <w:sz w:val="18"/>
                <w:szCs w:val="18"/>
                <w:lang w:eastAsia="en-AU"/>
              </w:rPr>
              <w:t>Landscape roughness</w:t>
            </w:r>
          </w:p>
        </w:tc>
        <w:tc>
          <w:tcPr>
            <w:tcW w:w="1895"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Landscape roughness</w:t>
            </w:r>
          </w:p>
        </w:tc>
        <w:tc>
          <w:tcPr>
            <w:tcW w:w="4712"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Based on the GDAL roughness algorithm in QGIS. Produced by Ross Searle, 2012.</w:t>
            </w:r>
          </w:p>
        </w:tc>
        <w:tc>
          <w:tcPr>
            <w:tcW w:w="2189"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Unpublished</w:t>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E14EE9" w:rsidP="00E14EE9">
            <w:pPr>
              <w:pStyle w:val="Tabletext"/>
              <w:rPr>
                <w:sz w:val="18"/>
                <w:szCs w:val="18"/>
                <w:lang w:eastAsia="en-AU"/>
              </w:rPr>
            </w:pPr>
            <w:r w:rsidRPr="00E14EE9">
              <w:rPr>
                <w:sz w:val="18"/>
                <w:szCs w:val="18"/>
                <w:lang w:eastAsia="en-AU"/>
              </w:rPr>
              <w:t>Relief</w:t>
            </w:r>
          </w:p>
        </w:tc>
        <w:tc>
          <w:tcPr>
            <w:tcW w:w="1895" w:type="dxa"/>
          </w:tcPr>
          <w:p w:rsidR="000B59E0"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val="de-CH"/>
              </w:rPr>
            </w:pPr>
            <w:r w:rsidRPr="00E14EE9">
              <w:rPr>
                <w:sz w:val="18"/>
                <w:szCs w:val="18"/>
                <w:lang w:val="de-CH"/>
              </w:rPr>
              <w:t>Digital Elevation Model (DEM) – 3“ SRTM DEM-S</w:t>
            </w:r>
          </w:p>
        </w:tc>
        <w:tc>
          <w:tcPr>
            <w:tcW w:w="4712" w:type="dxa"/>
          </w:tcPr>
          <w:p w:rsidR="000B59E0"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rPr>
              <w:t xml:space="preserve">Smoothed </w:t>
            </w:r>
            <w:r w:rsidRPr="00E14EE9">
              <w:rPr>
                <w:i/>
                <w:sz w:val="18"/>
                <w:szCs w:val="18"/>
              </w:rPr>
              <w:t>Shuttle Radar Topographic Mission (SRTM)</w:t>
            </w:r>
            <w:r w:rsidRPr="00E14EE9">
              <w:rPr>
                <w:sz w:val="18"/>
                <w:szCs w:val="18"/>
              </w:rPr>
              <w:t xml:space="preserve"> derived digital elevation model, resolution 3-arcseconds, Version 1.</w:t>
            </w:r>
          </w:p>
        </w:tc>
        <w:tc>
          <w:tcPr>
            <w:tcW w:w="2189" w:type="dxa"/>
          </w:tcPr>
          <w:p w:rsidR="000B59E0" w:rsidRPr="00E14EE9" w:rsidRDefault="000161DC" w:rsidP="00444CEC">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fldChar w:fldCharType="begin"/>
            </w:r>
            <w:r w:rsidRPr="00E14EE9">
              <w:rPr>
                <w:sz w:val="18"/>
                <w:szCs w:val="18"/>
                <w:lang w:eastAsia="en-AU"/>
              </w:rPr>
              <w:instrText>ADDIN RW.CITE{{105 Gallant 2009}}</w:instrText>
            </w:r>
            <w:r w:rsidRPr="00E14EE9">
              <w:rPr>
                <w:sz w:val="18"/>
                <w:szCs w:val="18"/>
                <w:lang w:eastAsia="en-AU"/>
              </w:rPr>
              <w:fldChar w:fldCharType="separate"/>
            </w:r>
            <w:r w:rsidR="00444CEC">
              <w:rPr>
                <w:rFonts w:cs="Arial"/>
                <w:sz w:val="18"/>
                <w:szCs w:val="18"/>
              </w:rPr>
              <w:t>(Gallant</w:t>
            </w:r>
            <w:r w:rsidR="00444CEC">
              <w:rPr>
                <w:rFonts w:cs="Arial"/>
                <w:i/>
                <w:iCs/>
                <w:sz w:val="18"/>
                <w:szCs w:val="18"/>
              </w:rPr>
              <w:t xml:space="preserve"> et al.</w:t>
            </w:r>
            <w:r w:rsidR="00444CEC">
              <w:rPr>
                <w:rFonts w:cs="Arial"/>
                <w:sz w:val="18"/>
                <w:szCs w:val="18"/>
              </w:rPr>
              <w:t xml:space="preserve"> 2009)</w:t>
            </w:r>
            <w:r w:rsidRPr="00E14EE9">
              <w:rPr>
                <w:sz w:val="18"/>
                <w:szCs w:val="18"/>
                <w:lang w:eastAsia="en-AU"/>
              </w:rPr>
              <w:fldChar w:fldCharType="end"/>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E14EE9" w:rsidP="00E14EE9">
            <w:pPr>
              <w:pStyle w:val="Tabletext"/>
              <w:rPr>
                <w:sz w:val="18"/>
                <w:szCs w:val="18"/>
                <w:lang w:eastAsia="en-AU"/>
              </w:rPr>
            </w:pPr>
            <w:r w:rsidRPr="00E14EE9">
              <w:rPr>
                <w:sz w:val="18"/>
                <w:szCs w:val="18"/>
                <w:lang w:eastAsia="en-AU"/>
              </w:rPr>
              <w:lastRenderedPageBreak/>
              <w:t>R</w:t>
            </w:r>
            <w:r w:rsidR="000B59E0" w:rsidRPr="00E14EE9">
              <w:rPr>
                <w:sz w:val="18"/>
                <w:szCs w:val="18"/>
                <w:lang w:eastAsia="en-AU"/>
              </w:rPr>
              <w:t>elief</w:t>
            </w:r>
            <w:r w:rsidRPr="00E14EE9">
              <w:rPr>
                <w:sz w:val="18"/>
                <w:szCs w:val="18"/>
                <w:lang w:eastAsia="en-AU"/>
              </w:rPr>
              <w:t xml:space="preserve"> – local</w:t>
            </w:r>
          </w:p>
        </w:tc>
        <w:tc>
          <w:tcPr>
            <w:tcW w:w="1895" w:type="dxa"/>
          </w:tcPr>
          <w:p w:rsidR="000B59E0"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E</w:t>
            </w:r>
            <w:r w:rsidR="000B59E0" w:rsidRPr="00E14EE9">
              <w:rPr>
                <w:sz w:val="18"/>
                <w:szCs w:val="18"/>
                <w:lang w:eastAsia="en-AU"/>
              </w:rPr>
              <w:t xml:space="preserve">levation </w:t>
            </w:r>
            <w:r w:rsidRPr="00E14EE9">
              <w:rPr>
                <w:sz w:val="18"/>
                <w:szCs w:val="18"/>
                <w:lang w:eastAsia="en-AU"/>
              </w:rPr>
              <w:t xml:space="preserve">averaged </w:t>
            </w:r>
            <w:r w:rsidR="000B59E0" w:rsidRPr="00E14EE9">
              <w:rPr>
                <w:sz w:val="18"/>
                <w:szCs w:val="18"/>
                <w:lang w:eastAsia="en-AU"/>
              </w:rPr>
              <w:t>over 300m</w:t>
            </w:r>
          </w:p>
        </w:tc>
        <w:tc>
          <w:tcPr>
            <w:tcW w:w="4712"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Derived from 1" SRTM DEM-S</w:t>
            </w:r>
            <w:r w:rsidR="00E14EE9" w:rsidRPr="00E14EE9">
              <w:rPr>
                <w:sz w:val="18"/>
                <w:szCs w:val="18"/>
                <w:lang w:eastAsia="en-AU"/>
              </w:rPr>
              <w:t>, elevation averaged over 300m radius, resolution 3-arcseconds.</w:t>
            </w:r>
          </w:p>
        </w:tc>
        <w:tc>
          <w:tcPr>
            <w:tcW w:w="2189" w:type="dxa"/>
          </w:tcPr>
          <w:p w:rsidR="000B59E0" w:rsidRPr="00E14EE9" w:rsidRDefault="000161DC" w:rsidP="00444CEC">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rPr>
              <w:fldChar w:fldCharType="begin"/>
            </w:r>
            <w:r w:rsidRPr="00E14EE9">
              <w:rPr>
                <w:sz w:val="18"/>
                <w:szCs w:val="18"/>
              </w:rPr>
              <w:instrText>ADDIN RW.CITE{{442 Gallant, J.C.}}</w:instrText>
            </w:r>
            <w:r w:rsidRPr="00E14EE9">
              <w:rPr>
                <w:sz w:val="18"/>
                <w:szCs w:val="18"/>
              </w:rPr>
              <w:fldChar w:fldCharType="separate"/>
            </w:r>
            <w:r w:rsidR="00444CEC">
              <w:rPr>
                <w:rFonts w:cs="Arial"/>
                <w:sz w:val="18"/>
                <w:szCs w:val="18"/>
              </w:rPr>
              <w:t>(Gallant and Austin)</w:t>
            </w:r>
            <w:r w:rsidRPr="00E14EE9">
              <w:rPr>
                <w:sz w:val="18"/>
                <w:szCs w:val="18"/>
              </w:rPr>
              <w:fldChar w:fldCharType="end"/>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E14EE9" w:rsidP="00E14EE9">
            <w:pPr>
              <w:pStyle w:val="Tabletext"/>
              <w:rPr>
                <w:sz w:val="18"/>
                <w:szCs w:val="18"/>
                <w:lang w:eastAsia="en-AU"/>
              </w:rPr>
            </w:pPr>
            <w:r w:rsidRPr="00E14EE9">
              <w:rPr>
                <w:sz w:val="18"/>
                <w:szCs w:val="18"/>
                <w:lang w:eastAsia="en-AU"/>
              </w:rPr>
              <w:t>Relief – local</w:t>
            </w:r>
          </w:p>
        </w:tc>
        <w:tc>
          <w:tcPr>
            <w:tcW w:w="1895" w:type="dxa"/>
          </w:tcPr>
          <w:p w:rsidR="000B59E0" w:rsidRPr="00E14EE9" w:rsidRDefault="000B59E0"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 xml:space="preserve">Slope </w:t>
            </w:r>
            <w:r w:rsidR="00E14EE9" w:rsidRPr="00E14EE9">
              <w:rPr>
                <w:sz w:val="18"/>
                <w:szCs w:val="18"/>
                <w:lang w:eastAsia="en-AU"/>
              </w:rPr>
              <w:t>%</w:t>
            </w:r>
          </w:p>
        </w:tc>
        <w:tc>
          <w:tcPr>
            <w:tcW w:w="4712"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Derived from 1" SRTM DEM-S</w:t>
            </w:r>
            <w:r w:rsidR="00E14EE9" w:rsidRPr="00E14EE9">
              <w:rPr>
                <w:sz w:val="18"/>
                <w:szCs w:val="18"/>
                <w:lang w:eastAsia="en-AU"/>
              </w:rPr>
              <w:t>, resolution 3-arcsecond</w:t>
            </w:r>
          </w:p>
        </w:tc>
        <w:tc>
          <w:tcPr>
            <w:tcW w:w="2189" w:type="dxa"/>
          </w:tcPr>
          <w:p w:rsidR="000B59E0" w:rsidRPr="00E14EE9" w:rsidRDefault="000161DC" w:rsidP="00444CEC">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rPr>
              <w:fldChar w:fldCharType="begin"/>
            </w:r>
            <w:r w:rsidRPr="00E14EE9">
              <w:rPr>
                <w:sz w:val="18"/>
                <w:szCs w:val="18"/>
              </w:rPr>
              <w:instrText>ADDIN RW.CITE{{443 Gallant, J.C. 2012}}</w:instrText>
            </w:r>
            <w:r w:rsidRPr="00E14EE9">
              <w:rPr>
                <w:sz w:val="18"/>
                <w:szCs w:val="18"/>
              </w:rPr>
              <w:fldChar w:fldCharType="separate"/>
            </w:r>
            <w:r w:rsidR="00444CEC">
              <w:rPr>
                <w:rFonts w:cs="Arial"/>
                <w:sz w:val="18"/>
                <w:szCs w:val="18"/>
              </w:rPr>
              <w:t>(Gallant and Austin 2012c)</w:t>
            </w:r>
            <w:r w:rsidRPr="00E14EE9">
              <w:rPr>
                <w:sz w:val="18"/>
                <w:szCs w:val="18"/>
              </w:rPr>
              <w:fldChar w:fldCharType="end"/>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E14EE9" w:rsidP="00E14EE9">
            <w:pPr>
              <w:pStyle w:val="Tabletext"/>
              <w:rPr>
                <w:sz w:val="18"/>
                <w:szCs w:val="18"/>
                <w:lang w:eastAsia="en-AU"/>
              </w:rPr>
            </w:pPr>
            <w:r w:rsidRPr="00E14EE9">
              <w:rPr>
                <w:sz w:val="18"/>
                <w:szCs w:val="18"/>
                <w:lang w:eastAsia="en-AU"/>
              </w:rPr>
              <w:t>Relief – local</w:t>
            </w:r>
          </w:p>
        </w:tc>
        <w:tc>
          <w:tcPr>
            <w:tcW w:w="1895" w:type="dxa"/>
          </w:tcPr>
          <w:p w:rsidR="000B59E0"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Median slope percent</w:t>
            </w:r>
            <w:r w:rsidR="000161DC" w:rsidRPr="00E14EE9">
              <w:rPr>
                <w:sz w:val="18"/>
                <w:szCs w:val="18"/>
                <w:lang w:eastAsia="en-AU"/>
              </w:rPr>
              <w:t xml:space="preserve"> over 300m</w:t>
            </w:r>
            <w:r w:rsidRPr="00E14EE9">
              <w:rPr>
                <w:sz w:val="18"/>
                <w:szCs w:val="18"/>
                <w:lang w:eastAsia="en-AU"/>
              </w:rPr>
              <w:t xml:space="preserve"> range</w:t>
            </w:r>
          </w:p>
        </w:tc>
        <w:tc>
          <w:tcPr>
            <w:tcW w:w="4712"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color w:val="333333"/>
                <w:sz w:val="18"/>
                <w:szCs w:val="18"/>
                <w:lang w:val="en"/>
              </w:rPr>
              <w:t>The focal median of percent slope can be used as a surrogate for modal slope in landform pattern analysis.</w:t>
            </w:r>
          </w:p>
        </w:tc>
        <w:tc>
          <w:tcPr>
            <w:tcW w:w="2189" w:type="dxa"/>
          </w:tcPr>
          <w:p w:rsidR="000B59E0" w:rsidRPr="00E14EE9" w:rsidRDefault="000161DC" w:rsidP="00444CEC">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rPr>
              <w:fldChar w:fldCharType="begin"/>
            </w:r>
            <w:r w:rsidRPr="00E14EE9">
              <w:rPr>
                <w:sz w:val="18"/>
                <w:szCs w:val="18"/>
              </w:rPr>
              <w:instrText>ADDIN RW.CITE{{445 Gallant, J.C. 2012}}</w:instrText>
            </w:r>
            <w:r w:rsidRPr="00E14EE9">
              <w:rPr>
                <w:sz w:val="18"/>
                <w:szCs w:val="18"/>
              </w:rPr>
              <w:fldChar w:fldCharType="separate"/>
            </w:r>
            <w:r w:rsidR="00444CEC">
              <w:rPr>
                <w:rFonts w:cs="Arial"/>
                <w:sz w:val="18"/>
                <w:szCs w:val="18"/>
              </w:rPr>
              <w:t>(Gallant and Austin 2012a)</w:t>
            </w:r>
            <w:r w:rsidRPr="00E14EE9">
              <w:rPr>
                <w:sz w:val="18"/>
                <w:szCs w:val="18"/>
              </w:rPr>
              <w:fldChar w:fldCharType="end"/>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E14EE9" w:rsidP="00E14EE9">
            <w:pPr>
              <w:pStyle w:val="Tabletext"/>
              <w:rPr>
                <w:sz w:val="18"/>
                <w:szCs w:val="18"/>
                <w:lang w:eastAsia="en-AU"/>
              </w:rPr>
            </w:pPr>
            <w:r w:rsidRPr="00E14EE9">
              <w:rPr>
                <w:sz w:val="18"/>
                <w:szCs w:val="18"/>
                <w:lang w:eastAsia="en-AU"/>
              </w:rPr>
              <w:t>Relief – local</w:t>
            </w:r>
          </w:p>
        </w:tc>
        <w:tc>
          <w:tcPr>
            <w:tcW w:w="1895"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Topographic position index</w:t>
            </w:r>
            <w:r w:rsidR="00E14EE9" w:rsidRPr="00E14EE9">
              <w:rPr>
                <w:sz w:val="18"/>
                <w:szCs w:val="18"/>
                <w:lang w:eastAsia="en-AU"/>
              </w:rPr>
              <w:t xml:space="preserve"> (TPI)</w:t>
            </w:r>
          </w:p>
        </w:tc>
        <w:tc>
          <w:tcPr>
            <w:tcW w:w="4712" w:type="dxa"/>
          </w:tcPr>
          <w:p w:rsidR="000B59E0"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rPr>
              <w:t>T</w:t>
            </w:r>
            <w:r w:rsidR="000161DC" w:rsidRPr="00E14EE9">
              <w:rPr>
                <w:sz w:val="18"/>
                <w:szCs w:val="18"/>
              </w:rPr>
              <w:t>opographic position classification identifying upper, middle and lower parts of the landscape. This dataset includes a mask that identifies where topographic position cannot be reliably derived in low relief areas.</w:t>
            </w:r>
          </w:p>
        </w:tc>
        <w:tc>
          <w:tcPr>
            <w:tcW w:w="2189" w:type="dxa"/>
          </w:tcPr>
          <w:p w:rsidR="000B59E0" w:rsidRPr="00E14EE9" w:rsidRDefault="000161DC" w:rsidP="00444CEC">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rPr>
              <w:fldChar w:fldCharType="begin"/>
            </w:r>
            <w:r w:rsidRPr="00E14EE9">
              <w:rPr>
                <w:sz w:val="18"/>
                <w:szCs w:val="18"/>
              </w:rPr>
              <w:instrText>ADDIN RW.CITE{{444 Gallant, J.C. 2012}}</w:instrText>
            </w:r>
            <w:r w:rsidRPr="00E14EE9">
              <w:rPr>
                <w:sz w:val="18"/>
                <w:szCs w:val="18"/>
              </w:rPr>
              <w:fldChar w:fldCharType="separate"/>
            </w:r>
            <w:r w:rsidR="00444CEC">
              <w:rPr>
                <w:rFonts w:cs="Arial"/>
                <w:sz w:val="18"/>
                <w:szCs w:val="18"/>
              </w:rPr>
              <w:t>(Gallant and Austin 2012d)</w:t>
            </w:r>
            <w:r w:rsidRPr="00E14EE9">
              <w:rPr>
                <w:sz w:val="18"/>
                <w:szCs w:val="18"/>
              </w:rPr>
              <w:fldChar w:fldCharType="end"/>
            </w:r>
          </w:p>
        </w:tc>
      </w:tr>
      <w:tr w:rsidR="00E14EE9" w:rsidRPr="00E14EE9" w:rsidTr="00E41587">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E14EE9" w:rsidRPr="00E14EE9" w:rsidRDefault="00E14EE9" w:rsidP="00E14EE9">
            <w:pPr>
              <w:pStyle w:val="Tabletext"/>
              <w:rPr>
                <w:sz w:val="18"/>
                <w:szCs w:val="18"/>
                <w:lang w:eastAsia="en-AU"/>
              </w:rPr>
            </w:pPr>
            <w:r w:rsidRPr="00E14EE9">
              <w:rPr>
                <w:sz w:val="18"/>
                <w:szCs w:val="18"/>
                <w:lang w:eastAsia="en-AU"/>
              </w:rPr>
              <w:t>Relief – broad</w:t>
            </w:r>
          </w:p>
        </w:tc>
        <w:tc>
          <w:tcPr>
            <w:tcW w:w="1895"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Elevation averaged over 1000m</w:t>
            </w:r>
          </w:p>
        </w:tc>
        <w:tc>
          <w:tcPr>
            <w:tcW w:w="4712"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Derived from 1" SRTM DEM-S, elevation averaged over 1000m radius, resolution 3-arcseconds.</w:t>
            </w:r>
          </w:p>
        </w:tc>
        <w:tc>
          <w:tcPr>
            <w:tcW w:w="2189" w:type="dxa"/>
          </w:tcPr>
          <w:p w:rsidR="00E14EE9" w:rsidRPr="00E14EE9" w:rsidRDefault="00E14EE9" w:rsidP="00E14EE9">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E14EE9">
              <w:rPr>
                <w:sz w:val="18"/>
                <w:szCs w:val="18"/>
                <w:lang w:eastAsia="en-AU"/>
              </w:rPr>
              <w:t>{{441 Gallant, J.C 2012}}</w:t>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444CEC" w:rsidRDefault="000161DC">
            <w:pPr>
              <w:divId w:val="1179731691"/>
              <w:rPr>
                <w:rFonts w:cs="Arial"/>
                <w:sz w:val="18"/>
                <w:szCs w:val="18"/>
              </w:rPr>
            </w:pPr>
            <w:r w:rsidRPr="00E14EE9">
              <w:rPr>
                <w:sz w:val="18"/>
                <w:szCs w:val="18"/>
                <w:lang w:eastAsia="en-AU"/>
              </w:rPr>
              <w:t>Vegetation</w:t>
            </w:r>
            <w:r w:rsidRPr="00E14EE9">
              <w:rPr>
                <w:sz w:val="18"/>
                <w:szCs w:val="18"/>
                <w:lang w:eastAsia="en-AU"/>
              </w:rPr>
              <w:fldChar w:fldCharType="begin"/>
            </w:r>
            <w:r w:rsidRPr="00E14EE9">
              <w:rPr>
                <w:sz w:val="18"/>
                <w:szCs w:val="18"/>
                <w:lang w:eastAsia="en-AU"/>
              </w:rPr>
              <w:instrText>ADDIN RW.CITE{{438 Johansen, K.G.T. 2012}}</w:instrText>
            </w:r>
            <w:r w:rsidRPr="00E14EE9">
              <w:rPr>
                <w:sz w:val="18"/>
                <w:szCs w:val="18"/>
                <w:lang w:eastAsia="en-AU"/>
              </w:rPr>
              <w:fldChar w:fldCharType="end"/>
            </w:r>
            <w:r w:rsidR="00444CEC">
              <w:rPr>
                <w:rFonts w:cs="Arial"/>
                <w:sz w:val="18"/>
                <w:szCs w:val="18"/>
              </w:rPr>
              <w:t>(Johansen</w:t>
            </w:r>
            <w:r w:rsidR="00444CEC">
              <w:rPr>
                <w:rFonts w:cs="Arial"/>
                <w:i/>
                <w:iCs/>
                <w:sz w:val="18"/>
                <w:szCs w:val="18"/>
              </w:rPr>
              <w:t xml:space="preserve"> et al.</w:t>
            </w:r>
            <w:r w:rsidR="00444CEC">
              <w:rPr>
                <w:rFonts w:cs="Arial"/>
                <w:sz w:val="18"/>
                <w:szCs w:val="18"/>
              </w:rPr>
              <w:t xml:space="preserve"> 2012)</w:t>
            </w:r>
          </w:p>
          <w:p w:rsidR="00E65A62" w:rsidRDefault="00530656">
            <w:pPr>
              <w:divId w:val="1337729174"/>
              <w:rPr>
                <w:rFonts w:cs="Arial"/>
                <w:sz w:val="18"/>
                <w:szCs w:val="18"/>
              </w:rPr>
            </w:pPr>
            <w:r>
              <w:rPr>
                <w:sz w:val="18"/>
                <w:szCs w:val="18"/>
                <w:lang w:eastAsia="en-AU"/>
              </w:rPr>
              <w:t>{{438 Johansen, K.G.T. 2012}}</w:t>
            </w:r>
            <w:r w:rsidR="00E65A62">
              <w:rPr>
                <w:rFonts w:cs="Arial"/>
                <w:sz w:val="18"/>
                <w:szCs w:val="18"/>
              </w:rPr>
              <w:t>(Johansen</w:t>
            </w:r>
            <w:r w:rsidR="00E65A62">
              <w:rPr>
                <w:rFonts w:cs="Arial"/>
                <w:i/>
                <w:iCs/>
                <w:sz w:val="18"/>
                <w:szCs w:val="18"/>
              </w:rPr>
              <w:t xml:space="preserve"> et al.</w:t>
            </w:r>
            <w:r w:rsidR="00E65A62">
              <w:rPr>
                <w:rFonts w:cs="Arial"/>
                <w:sz w:val="18"/>
                <w:szCs w:val="18"/>
              </w:rPr>
              <w:t xml:space="preserve"> 2012)</w:t>
            </w:r>
          </w:p>
          <w:p w:rsidR="000B59E0" w:rsidRPr="00E14EE9" w:rsidRDefault="000B59E0" w:rsidP="00E14EE9">
            <w:pPr>
              <w:pStyle w:val="Tabletext"/>
              <w:rPr>
                <w:sz w:val="18"/>
                <w:szCs w:val="18"/>
                <w:lang w:eastAsia="en-AU"/>
              </w:rPr>
            </w:pPr>
          </w:p>
        </w:tc>
        <w:tc>
          <w:tcPr>
            <w:tcW w:w="1895" w:type="dxa"/>
          </w:tcPr>
          <w:p w:rsidR="000B59E0" w:rsidRPr="00E14EE9" w:rsidRDefault="000B59E0"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val="en"/>
              </w:rPr>
              <w:t xml:space="preserve">Landsat 2000-2010 </w:t>
            </w:r>
            <w:r w:rsidR="00E14EE9">
              <w:rPr>
                <w:sz w:val="18"/>
                <w:szCs w:val="18"/>
                <w:lang w:val="en"/>
              </w:rPr>
              <w:t xml:space="preserve">Fraction of </w:t>
            </w:r>
            <w:r w:rsidRPr="00E14EE9">
              <w:rPr>
                <w:sz w:val="18"/>
                <w:szCs w:val="18"/>
                <w:lang w:val="en"/>
              </w:rPr>
              <w:t>Persistent Green-Vegetation</w:t>
            </w:r>
          </w:p>
        </w:tc>
        <w:tc>
          <w:tcPr>
            <w:tcW w:w="4712" w:type="dxa"/>
          </w:tcPr>
          <w:p w:rsidR="000B59E0" w:rsidRPr="00E14EE9" w:rsidRDefault="00444CEC" w:rsidP="00E14EE9">
            <w:pPr>
              <w:pStyle w:val="Tabletext"/>
              <w:cnfStyle w:val="000000000000" w:firstRow="0" w:lastRow="0" w:firstColumn="0" w:lastColumn="0" w:oddVBand="0" w:evenVBand="0" w:oddHBand="0" w:evenHBand="0" w:firstRowFirstColumn="0" w:firstRowLastColumn="0" w:lastRowFirstColumn="0" w:lastRowLastColumn="0"/>
              <w:rPr>
                <w:sz w:val="18"/>
                <w:szCs w:val="18"/>
              </w:rPr>
            </w:pPr>
            <w:hyperlink r:id="rId6" w:history="1">
              <w:r w:rsidR="000161DC" w:rsidRPr="00E14EE9">
                <w:rPr>
                  <w:rStyle w:val="wikigeneratedlinkcontent"/>
                  <w:rFonts w:cs="Arial"/>
                  <w:sz w:val="18"/>
                  <w:szCs w:val="18"/>
                </w:rPr>
                <w:t>http://auscover.org.au/purl/landsat-persistent-green-2000-2010</w:t>
              </w:r>
            </w:hyperlink>
          </w:p>
        </w:tc>
        <w:tc>
          <w:tcPr>
            <w:tcW w:w="2189"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{{438 Johansen, K.G.T. 2012}}</w:t>
            </w:r>
          </w:p>
        </w:tc>
      </w:tr>
      <w:tr w:rsidR="000B59E0"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B59E0" w:rsidRPr="00E14EE9" w:rsidRDefault="00F503A3" w:rsidP="00E14EE9">
            <w:pPr>
              <w:pStyle w:val="Tabletext"/>
              <w:rPr>
                <w:sz w:val="18"/>
                <w:szCs w:val="18"/>
                <w:lang w:eastAsia="en-AU"/>
              </w:rPr>
            </w:pPr>
            <w:r w:rsidRPr="00E14EE9">
              <w:rPr>
                <w:sz w:val="18"/>
                <w:szCs w:val="18"/>
                <w:lang w:eastAsia="en-AU"/>
              </w:rPr>
              <w:t>Vegetation</w:t>
            </w:r>
          </w:p>
        </w:tc>
        <w:tc>
          <w:tcPr>
            <w:tcW w:w="1895" w:type="dxa"/>
          </w:tcPr>
          <w:p w:rsidR="000161DC" w:rsidRPr="00E14EE9" w:rsidRDefault="00F503A3" w:rsidP="00E14EE9">
            <w:pPr>
              <w:pStyle w:val="Tabletext"/>
              <w:cnfStyle w:val="000000000000" w:firstRow="0" w:lastRow="0" w:firstColumn="0" w:lastColumn="0" w:oddVBand="0" w:evenVBand="0" w:oddHBand="0" w:evenHBand="0" w:firstRowFirstColumn="0" w:firstRowLastColumn="0" w:lastRowFirstColumn="0" w:lastRowLastColumn="0"/>
              <w:rPr>
                <w:color w:val="000000"/>
                <w:sz w:val="18"/>
                <w:szCs w:val="18"/>
                <w:lang w:val="en" w:eastAsia="en-AU"/>
              </w:rPr>
            </w:pPr>
            <w:r w:rsidRPr="00E14EE9">
              <w:rPr>
                <w:sz w:val="18"/>
                <w:szCs w:val="18"/>
                <w:lang w:eastAsia="en-AU"/>
              </w:rPr>
              <w:t xml:space="preserve">Mean </w:t>
            </w:r>
            <w:r w:rsidR="000161DC" w:rsidRPr="00E14EE9">
              <w:rPr>
                <w:color w:val="000000"/>
                <w:sz w:val="18"/>
                <w:szCs w:val="18"/>
                <w:lang w:val="en" w:eastAsia="en-AU"/>
              </w:rPr>
              <w:t>Fraction of Photosyntheti</w:t>
            </w:r>
            <w:r w:rsidR="00E14EE9">
              <w:rPr>
                <w:color w:val="000000"/>
                <w:sz w:val="18"/>
                <w:szCs w:val="18"/>
                <w:lang w:val="en" w:eastAsia="en-AU"/>
              </w:rPr>
              <w:t>cally Active Radiation (FPAR)</w:t>
            </w:r>
          </w:p>
          <w:p w:rsidR="000B59E0" w:rsidRPr="00E14EE9" w:rsidRDefault="000B59E0"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p>
        </w:tc>
        <w:tc>
          <w:tcPr>
            <w:tcW w:w="4712" w:type="dxa"/>
          </w:tcPr>
          <w:p w:rsidR="000161DC"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color w:val="000000"/>
                <w:sz w:val="18"/>
                <w:szCs w:val="18"/>
                <w:lang w:val="en" w:eastAsia="en-AU"/>
              </w:rPr>
            </w:pPr>
            <w:r w:rsidRPr="00E14EE9">
              <w:rPr>
                <w:color w:val="000000"/>
                <w:sz w:val="18"/>
                <w:szCs w:val="18"/>
                <w:lang w:val="en" w:eastAsia="en-AU"/>
              </w:rPr>
              <w:t>Australia-wide, monthly fraction of Photosynthetically Active Radiation absorbed by vegetation (</w:t>
            </w:r>
            <w:proofErr w:type="spellStart"/>
            <w:r w:rsidRPr="00E14EE9">
              <w:rPr>
                <w:color w:val="000000"/>
                <w:sz w:val="18"/>
                <w:szCs w:val="18"/>
                <w:lang w:val="en" w:eastAsia="en-AU"/>
              </w:rPr>
              <w:t>fPAR</w:t>
            </w:r>
            <w:proofErr w:type="spellEnd"/>
            <w:r w:rsidRPr="00E14EE9">
              <w:rPr>
                <w:color w:val="000000"/>
                <w:sz w:val="18"/>
                <w:szCs w:val="18"/>
                <w:lang w:val="en" w:eastAsia="en-AU"/>
              </w:rPr>
              <w:t xml:space="preserve">) derived from Advance Very High Resolution Radiometer data </w:t>
            </w:r>
            <w:r w:rsidR="00E14EE9">
              <w:rPr>
                <w:color w:val="000000"/>
                <w:sz w:val="18"/>
                <w:szCs w:val="18"/>
                <w:lang w:val="en" w:eastAsia="en-AU"/>
              </w:rPr>
              <w:t xml:space="preserve">spanning July 1981 to Oct 2011, </w:t>
            </w:r>
            <w:r w:rsidRPr="00E14EE9">
              <w:rPr>
                <w:color w:val="000000"/>
                <w:sz w:val="18"/>
                <w:szCs w:val="18"/>
                <w:lang w:val="en" w:eastAsia="en-AU"/>
              </w:rPr>
              <w:t xml:space="preserve">linearly related to fractional foliage cover. </w:t>
            </w:r>
            <w:r w:rsidR="00E14EE9">
              <w:rPr>
                <w:color w:val="000000"/>
                <w:sz w:val="18"/>
                <w:szCs w:val="18"/>
                <w:lang w:val="en" w:eastAsia="en-AU"/>
              </w:rPr>
              <w:t>D</w:t>
            </w:r>
            <w:r w:rsidRPr="00E14EE9">
              <w:rPr>
                <w:color w:val="000000"/>
                <w:sz w:val="18"/>
                <w:szCs w:val="18"/>
                <w:lang w:val="en" w:eastAsia="en-AU"/>
              </w:rPr>
              <w:t xml:space="preserve">eveloped by the Time Series Remote Sensing Team, CSIRO Land and Water in conjunction with the Environmental Biology Group at the Australian National University. </w:t>
            </w:r>
            <w:r w:rsidR="00E14EE9">
              <w:rPr>
                <w:color w:val="000000"/>
                <w:sz w:val="18"/>
                <w:szCs w:val="18"/>
                <w:lang w:val="en" w:eastAsia="en-AU"/>
              </w:rPr>
              <w:t>O</w:t>
            </w:r>
            <w:r w:rsidRPr="00E14EE9">
              <w:rPr>
                <w:color w:val="000000"/>
                <w:sz w:val="18"/>
                <w:szCs w:val="18"/>
                <w:lang w:val="en" w:eastAsia="en-AU"/>
              </w:rPr>
              <w:t>riginal data supplied by CSIRO M</w:t>
            </w:r>
            <w:r w:rsidR="00E14EE9">
              <w:rPr>
                <w:color w:val="000000"/>
                <w:sz w:val="18"/>
                <w:szCs w:val="18"/>
                <w:lang w:val="en" w:eastAsia="en-AU"/>
              </w:rPr>
              <w:t xml:space="preserve">arine and Atmospheric Research. </w:t>
            </w:r>
            <w:r w:rsidR="00E14EE9" w:rsidRPr="00E14EE9">
              <w:rPr>
                <w:color w:val="000000"/>
                <w:sz w:val="18"/>
                <w:szCs w:val="18"/>
                <w:lang w:val="en" w:eastAsia="en-AU"/>
              </w:rPr>
              <w:t xml:space="preserve"> Mean Value in </w:t>
            </w:r>
            <w:proofErr w:type="spellStart"/>
            <w:r w:rsidR="00E14EE9" w:rsidRPr="00E14EE9">
              <w:rPr>
                <w:color w:val="000000"/>
                <w:sz w:val="18"/>
                <w:szCs w:val="18"/>
                <w:lang w:val="en" w:eastAsia="en-AU"/>
              </w:rPr>
              <w:t>Timeseries</w:t>
            </w:r>
            <w:proofErr w:type="spellEnd"/>
            <w:r w:rsidR="00E14EE9" w:rsidRPr="00E14EE9">
              <w:rPr>
                <w:color w:val="000000"/>
                <w:sz w:val="18"/>
                <w:szCs w:val="18"/>
                <w:lang w:val="en" w:eastAsia="en-AU"/>
              </w:rPr>
              <w:t>, 1km grid, Version 4.</w:t>
            </w:r>
          </w:p>
        </w:tc>
        <w:tc>
          <w:tcPr>
            <w:tcW w:w="2189" w:type="dxa"/>
          </w:tcPr>
          <w:p w:rsidR="000B59E0"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color w:val="000000"/>
                <w:sz w:val="18"/>
                <w:szCs w:val="18"/>
                <w:lang w:val="en" w:eastAsia="en-AU"/>
              </w:rPr>
              <w:t xml:space="preserve">{{437 </w:t>
            </w:r>
            <w:proofErr w:type="spellStart"/>
            <w:r w:rsidRPr="00E14EE9">
              <w:rPr>
                <w:color w:val="000000"/>
                <w:sz w:val="18"/>
                <w:szCs w:val="18"/>
                <w:lang w:val="en" w:eastAsia="en-AU"/>
              </w:rPr>
              <w:t>Donohue,Randall</w:t>
            </w:r>
            <w:proofErr w:type="spellEnd"/>
            <w:r w:rsidRPr="00E14EE9">
              <w:rPr>
                <w:color w:val="000000"/>
                <w:sz w:val="18"/>
                <w:szCs w:val="18"/>
                <w:lang w:val="en" w:eastAsia="en-AU"/>
              </w:rPr>
              <w:t xml:space="preserve"> J. 2008}}</w:t>
            </w:r>
          </w:p>
        </w:tc>
      </w:tr>
      <w:tr w:rsidR="000161DC" w:rsidRPr="00E14EE9" w:rsidTr="00E14EE9">
        <w:tblPrEx>
          <w:tblCellMar>
            <w:top w:w="85" w:type="dxa"/>
            <w:left w:w="113" w:type="dxa"/>
            <w:right w:w="113" w:type="dxa"/>
          </w:tblCellMar>
        </w:tblPrEx>
        <w:tc>
          <w:tcPr>
            <w:cnfStyle w:val="001000000000" w:firstRow="0" w:lastRow="0" w:firstColumn="1" w:lastColumn="0" w:oddVBand="0" w:evenVBand="0" w:oddHBand="0" w:evenHBand="0" w:firstRowFirstColumn="0" w:firstRowLastColumn="0" w:lastRowFirstColumn="0" w:lastRowLastColumn="0"/>
            <w:tcW w:w="1326" w:type="dxa"/>
          </w:tcPr>
          <w:p w:rsidR="000161DC" w:rsidRPr="00E14EE9" w:rsidRDefault="000161DC" w:rsidP="00E14EE9">
            <w:pPr>
              <w:pStyle w:val="Tabletext"/>
              <w:rPr>
                <w:sz w:val="18"/>
                <w:szCs w:val="18"/>
                <w:lang w:eastAsia="en-AU"/>
              </w:rPr>
            </w:pPr>
            <w:r w:rsidRPr="00E14EE9">
              <w:rPr>
                <w:sz w:val="18"/>
                <w:szCs w:val="18"/>
                <w:lang w:eastAsia="en-AU"/>
              </w:rPr>
              <w:t>Vegetation</w:t>
            </w:r>
          </w:p>
        </w:tc>
        <w:tc>
          <w:tcPr>
            <w:tcW w:w="1895" w:type="dxa"/>
          </w:tcPr>
          <w:p w:rsidR="000161DC"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sz w:val="18"/>
                <w:szCs w:val="18"/>
                <w:lang w:eastAsia="en-AU"/>
              </w:rPr>
            </w:pPr>
            <w:r w:rsidRPr="00E14EE9">
              <w:rPr>
                <w:color w:val="000000"/>
                <w:sz w:val="18"/>
                <w:szCs w:val="18"/>
                <w:lang w:val="en" w:eastAsia="en-AU"/>
              </w:rPr>
              <w:t>Bare Soil - Standard Deviation</w:t>
            </w:r>
          </w:p>
        </w:tc>
        <w:tc>
          <w:tcPr>
            <w:tcW w:w="4712" w:type="dxa"/>
          </w:tcPr>
          <w:p w:rsidR="000161DC"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color w:val="000000"/>
                <w:sz w:val="18"/>
                <w:szCs w:val="18"/>
                <w:lang w:val="en" w:eastAsia="en-AU"/>
              </w:rPr>
            </w:pPr>
            <w:r w:rsidRPr="00E14EE9">
              <w:rPr>
                <w:color w:val="000000"/>
                <w:sz w:val="18"/>
                <w:szCs w:val="18"/>
                <w:lang w:val="en" w:eastAsia="en-AU"/>
              </w:rPr>
              <w:t>Fractional cover - MODIS, CSIRO Land and Water algorithm, Australia coverage. Sourced by TERN in 2012</w:t>
            </w:r>
          </w:p>
        </w:tc>
        <w:tc>
          <w:tcPr>
            <w:tcW w:w="2189" w:type="dxa"/>
          </w:tcPr>
          <w:p w:rsidR="000161DC" w:rsidRPr="00E14EE9" w:rsidRDefault="000161DC" w:rsidP="00E14EE9">
            <w:pPr>
              <w:pStyle w:val="Tabletext"/>
              <w:cnfStyle w:val="000000000000" w:firstRow="0" w:lastRow="0" w:firstColumn="0" w:lastColumn="0" w:oddVBand="0" w:evenVBand="0" w:oddHBand="0" w:evenHBand="0" w:firstRowFirstColumn="0" w:firstRowLastColumn="0" w:lastRowFirstColumn="0" w:lastRowLastColumn="0"/>
              <w:rPr>
                <w:color w:val="000000"/>
                <w:sz w:val="18"/>
                <w:szCs w:val="18"/>
                <w:lang w:val="en" w:eastAsia="en-AU"/>
              </w:rPr>
            </w:pPr>
          </w:p>
        </w:tc>
      </w:tr>
      <w:tr w:rsidR="00E14EE9" w:rsidRPr="00E14EE9" w:rsidTr="00E41587">
        <w:tblPrEx>
          <w:tblCellMar>
            <w:top w:w="85" w:type="dxa"/>
            <w:left w:w="113" w:type="dxa"/>
            <w:right w:w="113" w:type="dxa"/>
          </w:tblCellMar>
        </w:tblPrEx>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14EE9" w:rsidRPr="00E14EE9" w:rsidRDefault="00E14EE9" w:rsidP="00E14EE9">
            <w:pPr>
              <w:pStyle w:val="Tabletext"/>
              <w:rPr>
                <w:sz w:val="18"/>
                <w:szCs w:val="18"/>
                <w:lang w:eastAsia="en-AU"/>
              </w:rPr>
            </w:pPr>
            <w:r w:rsidRPr="00E14EE9">
              <w:rPr>
                <w:sz w:val="18"/>
                <w:szCs w:val="18"/>
                <w:lang w:eastAsia="en-AU"/>
              </w:rPr>
              <w:t>Wetness / drainage</w:t>
            </w:r>
          </w:p>
        </w:tc>
        <w:tc>
          <w:tcPr>
            <w:tcW w:w="1895" w:type="dxa"/>
          </w:tcPr>
          <w:p w:rsidR="00E14EE9" w:rsidRPr="00E14EE9" w:rsidRDefault="00E14EE9" w:rsidP="00E14EE9">
            <w:pPr>
              <w:pStyle w:val="Tabletext"/>
              <w:cnfStyle w:val="010000000000" w:firstRow="0" w:lastRow="1"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Topographic Wetness Index</w:t>
            </w:r>
          </w:p>
        </w:tc>
        <w:tc>
          <w:tcPr>
            <w:tcW w:w="4712" w:type="dxa"/>
          </w:tcPr>
          <w:p w:rsidR="00E14EE9" w:rsidRPr="00E14EE9" w:rsidRDefault="00E14EE9" w:rsidP="00E14EE9">
            <w:pPr>
              <w:pStyle w:val="Tabletext"/>
              <w:cnfStyle w:val="010000000000" w:firstRow="0" w:lastRow="1" w:firstColumn="0" w:lastColumn="0" w:oddVBand="0" w:evenVBand="0" w:oddHBand="0" w:evenHBand="0" w:firstRowFirstColumn="0" w:firstRowLastColumn="0" w:lastRowFirstColumn="0" w:lastRowLastColumn="0"/>
              <w:rPr>
                <w:sz w:val="18"/>
                <w:szCs w:val="18"/>
                <w:lang w:eastAsia="en-AU"/>
              </w:rPr>
            </w:pPr>
            <w:r w:rsidRPr="00E14EE9">
              <w:rPr>
                <w:sz w:val="18"/>
                <w:szCs w:val="18"/>
                <w:lang w:eastAsia="en-AU"/>
              </w:rPr>
              <w:t>Derived from 1" SRTM DEM-H, resolution 3-arcsecond.</w:t>
            </w:r>
          </w:p>
        </w:tc>
        <w:tc>
          <w:tcPr>
            <w:tcW w:w="2189" w:type="dxa"/>
          </w:tcPr>
          <w:p w:rsidR="00E14EE9" w:rsidRPr="00E14EE9" w:rsidRDefault="00E14EE9" w:rsidP="00E14EE9">
            <w:pPr>
              <w:pStyle w:val="Tabletext"/>
              <w:cnfStyle w:val="010000000000" w:firstRow="0" w:lastRow="1" w:firstColumn="0" w:lastColumn="0" w:oddVBand="0" w:evenVBand="0" w:oddHBand="0" w:evenHBand="0" w:firstRowFirstColumn="0" w:firstRowLastColumn="0" w:lastRowFirstColumn="0" w:lastRowLastColumn="0"/>
              <w:rPr>
                <w:sz w:val="18"/>
                <w:szCs w:val="18"/>
              </w:rPr>
            </w:pPr>
            <w:r w:rsidRPr="00E14EE9">
              <w:rPr>
                <w:color w:val="000000"/>
                <w:sz w:val="18"/>
                <w:szCs w:val="18"/>
                <w:lang w:eastAsia="en-AU"/>
              </w:rPr>
              <w:t>{{440 Gallant, J.C. 2012}}</w:t>
            </w:r>
          </w:p>
        </w:tc>
      </w:tr>
    </w:tbl>
    <w:p w:rsidR="000B59E0" w:rsidRDefault="000B59E0"/>
    <w:p w:rsidR="00FB4626" w:rsidRPr="00FB4626" w:rsidRDefault="00FB4626" w:rsidP="00FB4626">
      <w:pPr>
        <w:pStyle w:val="Heading2"/>
        <w:rPr>
          <w:color w:val="7030A0"/>
        </w:rPr>
      </w:pPr>
      <w:r w:rsidRPr="00FB4626">
        <w:rPr>
          <w:color w:val="7030A0"/>
        </w:rPr>
        <w:t>Products</w:t>
      </w:r>
    </w:p>
    <w:tbl>
      <w:tblPr>
        <w:tblStyle w:val="TableGrid"/>
        <w:tblW w:w="0" w:type="auto"/>
        <w:tblLook w:val="04A0" w:firstRow="1" w:lastRow="0" w:firstColumn="1" w:lastColumn="0" w:noHBand="0" w:noVBand="1"/>
      </w:tblPr>
      <w:tblGrid>
        <w:gridCol w:w="3837"/>
        <w:gridCol w:w="5179"/>
      </w:tblGrid>
      <w:tr w:rsidR="00FB4626" w:rsidTr="00444CEC">
        <w:tc>
          <w:tcPr>
            <w:tcW w:w="3837" w:type="dxa"/>
          </w:tcPr>
          <w:p w:rsidR="00FB4626" w:rsidRDefault="00FB4626">
            <w:r>
              <w:t>Product</w:t>
            </w:r>
          </w:p>
        </w:tc>
        <w:tc>
          <w:tcPr>
            <w:tcW w:w="5179" w:type="dxa"/>
          </w:tcPr>
          <w:p w:rsidR="00FB4626" w:rsidRDefault="00FB4626">
            <w:r>
              <w:t>Details</w:t>
            </w:r>
          </w:p>
        </w:tc>
      </w:tr>
      <w:tr w:rsidR="00444CEC" w:rsidTr="00FB4626">
        <w:tc>
          <w:tcPr>
            <w:tcW w:w="2405" w:type="dxa"/>
          </w:tcPr>
          <w:p w:rsidR="00444CEC" w:rsidRDefault="00444CEC">
            <w:proofErr w:type="spellStart"/>
            <w:r>
              <w:t>ASRIS_K_Fitzroy_prediction.tif</w:t>
            </w:r>
            <w:proofErr w:type="spellEnd"/>
          </w:p>
        </w:tc>
        <w:tc>
          <w:tcPr>
            <w:tcW w:w="6611" w:type="dxa"/>
          </w:tcPr>
          <w:p w:rsidR="00444CEC" w:rsidRDefault="00444CEC" w:rsidP="00444CEC">
            <w:r>
              <w:t>Predicted K</w:t>
            </w:r>
            <w:r>
              <w:t xml:space="preserve"> </w:t>
            </w:r>
            <w:proofErr w:type="spellStart"/>
            <w:r>
              <w:t>eqveillent</w:t>
            </w:r>
            <w:proofErr w:type="spellEnd"/>
            <w:r>
              <w:t xml:space="preserve"> to ASRIS</w:t>
            </w:r>
            <w:r>
              <w:t xml:space="preserve"> –</w:t>
            </w:r>
            <w:r>
              <w:t xml:space="preserve"> K</w:t>
            </w:r>
            <w:r>
              <w:t xml:space="preserve"> factor for the Fitzroy NRM Region (Includes Boyne and Styx catchments), the 50</w:t>
            </w:r>
            <w:r w:rsidRPr="00FB4626">
              <w:rPr>
                <w:vertAlign w:val="superscript"/>
              </w:rPr>
              <w:t>th</w:t>
            </w:r>
            <w:r>
              <w:t xml:space="preserve"> percentile.</w:t>
            </w:r>
          </w:p>
        </w:tc>
      </w:tr>
      <w:tr w:rsidR="00444CEC" w:rsidTr="00FB4626">
        <w:tc>
          <w:tcPr>
            <w:tcW w:w="2405" w:type="dxa"/>
          </w:tcPr>
          <w:p w:rsidR="00444CEC" w:rsidRDefault="00444CEC">
            <w:proofErr w:type="spellStart"/>
            <w:r>
              <w:t>ASRIS_K_Fitzroy_uncertainity.tif</w:t>
            </w:r>
            <w:proofErr w:type="spellEnd"/>
          </w:p>
        </w:tc>
        <w:tc>
          <w:tcPr>
            <w:tcW w:w="6611" w:type="dxa"/>
          </w:tcPr>
          <w:p w:rsidR="00444CEC" w:rsidRDefault="00444CEC">
            <w:r>
              <w:t>The difference between the 95</w:t>
            </w:r>
            <w:r w:rsidRPr="00FB4626">
              <w:rPr>
                <w:vertAlign w:val="superscript"/>
              </w:rPr>
              <w:t>th</w:t>
            </w:r>
            <w:r>
              <w:t xml:space="preserve"> and 5</w:t>
            </w:r>
            <w:r w:rsidRPr="00FB4626">
              <w:rPr>
                <w:vertAlign w:val="superscript"/>
              </w:rPr>
              <w:t>th</w:t>
            </w:r>
            <w:r>
              <w:t xml:space="preserve"> percentile predictions. The greater the range the greater uncertainty expected.</w:t>
            </w:r>
          </w:p>
        </w:tc>
      </w:tr>
      <w:tr w:rsidR="00FB4626" w:rsidTr="00FB4626">
        <w:tc>
          <w:tcPr>
            <w:tcW w:w="2405" w:type="dxa"/>
          </w:tcPr>
          <w:p w:rsidR="00FB4626" w:rsidRDefault="00FB4626" w:rsidP="00444CEC">
            <w:proofErr w:type="spellStart"/>
            <w:r>
              <w:t>K_Fitzroy_</w:t>
            </w:r>
            <w:r w:rsidR="00444CEC">
              <w:t>prediction</w:t>
            </w:r>
            <w:r>
              <w:t>.tif</w:t>
            </w:r>
            <w:proofErr w:type="spellEnd"/>
            <w:r>
              <w:tab/>
            </w:r>
          </w:p>
        </w:tc>
        <w:tc>
          <w:tcPr>
            <w:tcW w:w="6611" w:type="dxa"/>
          </w:tcPr>
          <w:p w:rsidR="00FB4626" w:rsidRDefault="00FB4626">
            <w:r>
              <w:t>Predicted K – factor for the Fitzroy NRM Region (Includes Boyne and Styx catchments), the 50</w:t>
            </w:r>
            <w:r w:rsidRPr="00FB4626">
              <w:rPr>
                <w:vertAlign w:val="superscript"/>
              </w:rPr>
              <w:t>th</w:t>
            </w:r>
            <w:r>
              <w:t xml:space="preserve"> percentile.</w:t>
            </w:r>
          </w:p>
        </w:tc>
      </w:tr>
      <w:tr w:rsidR="00FB4626" w:rsidTr="00FB4626">
        <w:tc>
          <w:tcPr>
            <w:tcW w:w="2405" w:type="dxa"/>
          </w:tcPr>
          <w:p w:rsidR="00FB4626" w:rsidRDefault="00FB4626">
            <w:proofErr w:type="spellStart"/>
            <w:r>
              <w:lastRenderedPageBreak/>
              <w:t>K_Fitzroy_uncertainity</w:t>
            </w:r>
            <w:proofErr w:type="spellEnd"/>
          </w:p>
        </w:tc>
        <w:tc>
          <w:tcPr>
            <w:tcW w:w="6611" w:type="dxa"/>
          </w:tcPr>
          <w:p w:rsidR="00FB4626" w:rsidRDefault="00FB4626">
            <w:r>
              <w:t>The difference between the 95</w:t>
            </w:r>
            <w:r w:rsidRPr="00FB4626">
              <w:rPr>
                <w:vertAlign w:val="superscript"/>
              </w:rPr>
              <w:t>th</w:t>
            </w:r>
            <w:r>
              <w:t xml:space="preserve"> and 5</w:t>
            </w:r>
            <w:r w:rsidRPr="00FB4626">
              <w:rPr>
                <w:vertAlign w:val="superscript"/>
              </w:rPr>
              <w:t>th</w:t>
            </w:r>
            <w:r>
              <w:t xml:space="preserve"> percentile predictions. The greater the range the greater uncertainty expected.</w:t>
            </w:r>
          </w:p>
        </w:tc>
      </w:tr>
      <w:tr w:rsidR="00FB4626" w:rsidTr="00FB4626">
        <w:tc>
          <w:tcPr>
            <w:tcW w:w="2405" w:type="dxa"/>
          </w:tcPr>
          <w:p w:rsidR="00FB4626" w:rsidRDefault="00444CEC" w:rsidP="00444CEC">
            <w:r>
              <w:t>ASRIS</w:t>
            </w:r>
            <w:r w:rsidR="00FB4626">
              <w:t>.csv</w:t>
            </w:r>
          </w:p>
        </w:tc>
        <w:tc>
          <w:tcPr>
            <w:tcW w:w="6611" w:type="dxa"/>
          </w:tcPr>
          <w:p w:rsidR="00FB4626" w:rsidRDefault="00444CEC" w:rsidP="00FB4626">
            <w:r>
              <w:t>Site data used after processing. Compare to SALI sites at same location.</w:t>
            </w:r>
          </w:p>
        </w:tc>
      </w:tr>
      <w:tr w:rsidR="00FB4626" w:rsidTr="00FB4626">
        <w:tc>
          <w:tcPr>
            <w:tcW w:w="2405" w:type="dxa"/>
          </w:tcPr>
          <w:p w:rsidR="00FB4626" w:rsidRDefault="00FB4626">
            <w:r>
              <w:t>K.csv</w:t>
            </w:r>
          </w:p>
        </w:tc>
        <w:tc>
          <w:tcPr>
            <w:tcW w:w="6611" w:type="dxa"/>
          </w:tcPr>
          <w:p w:rsidR="00FB4626" w:rsidRDefault="00FB4626">
            <w:r>
              <w:t>Site data used after processing. Compare to SALI sites at same location.</w:t>
            </w:r>
          </w:p>
        </w:tc>
      </w:tr>
      <w:tr w:rsidR="00FB4626" w:rsidTr="00FB4626">
        <w:tc>
          <w:tcPr>
            <w:tcW w:w="2405" w:type="dxa"/>
          </w:tcPr>
          <w:p w:rsidR="00FB4626" w:rsidRDefault="004F126A" w:rsidP="00444CEC">
            <w:r>
              <w:t>K</w:t>
            </w:r>
            <w:r w:rsidR="00444CEC">
              <w:t>3</w:t>
            </w:r>
            <w:r>
              <w:t>_attribute_diagnostic_stats.csv</w:t>
            </w:r>
          </w:p>
        </w:tc>
        <w:tc>
          <w:tcPr>
            <w:tcW w:w="6611" w:type="dxa"/>
          </w:tcPr>
          <w:p w:rsidR="00FB4626" w:rsidRDefault="004F126A">
            <w:r>
              <w:t>Model statistics, calibration stats, stats of regression trees created, validation stats of predictions compared to 25% of training data not used in modelling.</w:t>
            </w:r>
          </w:p>
        </w:tc>
      </w:tr>
      <w:tr w:rsidR="00444CEC" w:rsidTr="00FB4626">
        <w:tc>
          <w:tcPr>
            <w:tcW w:w="2405" w:type="dxa"/>
          </w:tcPr>
          <w:p w:rsidR="00444CEC" w:rsidRDefault="00444CEC" w:rsidP="00444CEC">
            <w:r>
              <w:t>ASRIS_average_variable_importance.csv</w:t>
            </w:r>
          </w:p>
        </w:tc>
        <w:tc>
          <w:tcPr>
            <w:tcW w:w="6611" w:type="dxa"/>
          </w:tcPr>
          <w:p w:rsidR="00444CEC" w:rsidRDefault="00444CEC">
            <w:r>
              <w:t>Environmental covariate usage in model</w:t>
            </w:r>
          </w:p>
        </w:tc>
      </w:tr>
      <w:tr w:rsidR="00444CEC" w:rsidTr="00FB4626">
        <w:tc>
          <w:tcPr>
            <w:tcW w:w="2405" w:type="dxa"/>
          </w:tcPr>
          <w:p w:rsidR="00444CEC" w:rsidRDefault="00444CEC" w:rsidP="00444CEC">
            <w:r>
              <w:t>K_average_variable_importance.csv</w:t>
            </w:r>
          </w:p>
        </w:tc>
        <w:tc>
          <w:tcPr>
            <w:tcW w:w="6611" w:type="dxa"/>
          </w:tcPr>
          <w:p w:rsidR="00444CEC" w:rsidRDefault="00444CEC" w:rsidP="00444CEC">
            <w:r>
              <w:t>Environmental covariate usage in model</w:t>
            </w:r>
          </w:p>
        </w:tc>
      </w:tr>
    </w:tbl>
    <w:p w:rsidR="00FB4626" w:rsidRDefault="00FB4626"/>
    <w:p w:rsidR="00E65A62" w:rsidRPr="00E65A62" w:rsidRDefault="00E65A62" w:rsidP="00E65A62">
      <w:pPr>
        <w:pStyle w:val="Heading2"/>
        <w:divId w:val="551841883"/>
        <w:rPr>
          <w:color w:val="7030A0"/>
        </w:rPr>
      </w:pPr>
      <w:r w:rsidRPr="00E65A62">
        <w:rPr>
          <w:color w:val="7030A0"/>
        </w:rPr>
        <w:t>References</w:t>
      </w:r>
    </w:p>
    <w:p w:rsidR="00444CEC" w:rsidRDefault="00444CEC">
      <w:pPr>
        <w:pStyle w:val="NormalWeb"/>
        <w:spacing w:line="480" w:lineRule="auto"/>
        <w:ind w:left="450" w:hanging="450"/>
        <w:divId w:val="863251481"/>
        <w:rPr>
          <w:rFonts w:ascii="Calibri" w:hAnsi="Calibri" w:cs="Calibri"/>
          <w:sz w:val="22"/>
          <w:szCs w:val="22"/>
        </w:rPr>
      </w:pPr>
      <w:r>
        <w:fldChar w:fldCharType="begin"/>
      </w:r>
      <w:r>
        <w:instrText>ADDIN RW.BIB</w:instrText>
      </w:r>
      <w:r>
        <w:fldChar w:fldCharType="separate"/>
      </w:r>
      <w:r>
        <w:rPr>
          <w:rFonts w:ascii="Calibri" w:hAnsi="Calibri" w:cs="Calibri"/>
          <w:sz w:val="22"/>
          <w:szCs w:val="22"/>
        </w:rPr>
        <w:t xml:space="preserve">Anon (2008) Gravity anomaly grid of the </w:t>
      </w:r>
      <w:proofErr w:type="spellStart"/>
      <w:proofErr w:type="gramStart"/>
      <w:r>
        <w:rPr>
          <w:rFonts w:ascii="Calibri" w:hAnsi="Calibri" w:cs="Calibri"/>
          <w:sz w:val="22"/>
          <w:szCs w:val="22"/>
        </w:rPr>
        <w:t>australian</w:t>
      </w:r>
      <w:proofErr w:type="spellEnd"/>
      <w:proofErr w:type="gramEnd"/>
      <w:r>
        <w:rPr>
          <w:rFonts w:ascii="Calibri" w:hAnsi="Calibri" w:cs="Calibri"/>
          <w:sz w:val="22"/>
          <w:szCs w:val="22"/>
        </w:rPr>
        <w:t xml:space="preserve"> region. </w:t>
      </w:r>
      <w:r>
        <w:rPr>
          <w:rFonts w:ascii="Calibri" w:hAnsi="Calibri" w:cs="Calibri"/>
          <w:i/>
          <w:iCs/>
          <w:sz w:val="22"/>
          <w:szCs w:val="22"/>
        </w:rPr>
        <w:t xml:space="preserve">Geoscience Australia, Canberra </w:t>
      </w:r>
      <w:r>
        <w:rPr>
          <w:rFonts w:ascii="Calibri" w:hAnsi="Calibri" w:cs="Calibri"/>
          <w:b/>
          <w:bCs/>
          <w:sz w:val="22"/>
          <w:szCs w:val="22"/>
        </w:rPr>
        <w:t xml:space="preserve">Resolution 0.5',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Gallant JC, Austin JM (2012a) Median of percent slope over 300 m derived from 1" SRTM DEM-S. v2. </w:t>
      </w:r>
      <w:r>
        <w:rPr>
          <w:rFonts w:ascii="Calibri" w:hAnsi="Calibri" w:cs="Calibri"/>
          <w:i/>
          <w:iCs/>
          <w:sz w:val="22"/>
          <w:szCs w:val="22"/>
        </w:rPr>
        <w:t xml:space="preserve">CSIRO Data Collection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Gallant JC, Austin JM (2012b) Prescott index derived from 1" SRTM DEM-S, v2. </w:t>
      </w:r>
      <w:r>
        <w:rPr>
          <w:rFonts w:ascii="Calibri" w:hAnsi="Calibri" w:cs="Calibri"/>
          <w:i/>
          <w:iCs/>
          <w:sz w:val="22"/>
          <w:szCs w:val="22"/>
        </w:rPr>
        <w:t xml:space="preserve">CSIRO Data Collection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Gallant JC, Austin JM (2012c) Slope derived from 1" SRTM DEM-S. v4. </w:t>
      </w:r>
      <w:r>
        <w:rPr>
          <w:rFonts w:ascii="Calibri" w:hAnsi="Calibri" w:cs="Calibri"/>
          <w:i/>
          <w:iCs/>
          <w:sz w:val="22"/>
          <w:szCs w:val="22"/>
        </w:rPr>
        <w:t xml:space="preserve">CSIRO Data Collection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Gallant JC, Austin JM (2012d) Topographic position index derived from 1" SRTM DEM-S. v4. </w:t>
      </w:r>
      <w:r>
        <w:rPr>
          <w:rFonts w:ascii="Calibri" w:hAnsi="Calibri" w:cs="Calibri"/>
          <w:i/>
          <w:iCs/>
          <w:sz w:val="22"/>
          <w:szCs w:val="22"/>
        </w:rPr>
        <w:t xml:space="preserve">CSIRO Data Collection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Gallant JC, Austin JM Relief - elevation range over 300 m derived from 1" SRTM DEM-S. v2. </w:t>
      </w:r>
      <w:r>
        <w:rPr>
          <w:rFonts w:ascii="Calibri" w:hAnsi="Calibri" w:cs="Calibri"/>
          <w:i/>
          <w:iCs/>
          <w:sz w:val="22"/>
          <w:szCs w:val="22"/>
        </w:rPr>
        <w:t xml:space="preserve">2012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Gallant JC, Dowling TI (2003) </w:t>
      </w:r>
      <w:proofErr w:type="gramStart"/>
      <w:r>
        <w:rPr>
          <w:rFonts w:ascii="Calibri" w:hAnsi="Calibri" w:cs="Calibri"/>
          <w:sz w:val="22"/>
          <w:szCs w:val="22"/>
        </w:rPr>
        <w:t>A</w:t>
      </w:r>
      <w:proofErr w:type="gramEnd"/>
      <w:r>
        <w:rPr>
          <w:rFonts w:ascii="Calibri" w:hAnsi="Calibri" w:cs="Calibri"/>
          <w:sz w:val="22"/>
          <w:szCs w:val="22"/>
        </w:rPr>
        <w:t xml:space="preserve"> multiresolution index of valley bottom flatness for mapping depositional areas. </w:t>
      </w:r>
      <w:r>
        <w:rPr>
          <w:rFonts w:ascii="Calibri" w:hAnsi="Calibri" w:cs="Calibri"/>
          <w:i/>
          <w:iCs/>
          <w:sz w:val="22"/>
          <w:szCs w:val="22"/>
        </w:rPr>
        <w:t xml:space="preserve">Water Resources Research </w:t>
      </w:r>
      <w:r>
        <w:rPr>
          <w:rFonts w:ascii="Calibri" w:hAnsi="Calibri" w:cs="Calibri"/>
          <w:b/>
          <w:bCs/>
          <w:sz w:val="22"/>
          <w:szCs w:val="22"/>
        </w:rPr>
        <w:t xml:space="preserve">39/12, </w:t>
      </w:r>
      <w:r>
        <w:rPr>
          <w:rFonts w:ascii="Calibri" w:hAnsi="Calibri" w:cs="Calibri"/>
          <w:sz w:val="22"/>
          <w:szCs w:val="22"/>
        </w:rPr>
        <w:t xml:space="preserve">1347-1359.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Gallant, J., Dowling T, Read </w:t>
      </w:r>
      <w:proofErr w:type="gramStart"/>
      <w:r>
        <w:rPr>
          <w:rFonts w:ascii="Calibri" w:hAnsi="Calibri" w:cs="Calibri"/>
          <w:sz w:val="22"/>
          <w:szCs w:val="22"/>
        </w:rPr>
        <w:t>A</w:t>
      </w:r>
      <w:proofErr w:type="gramEnd"/>
      <w:r>
        <w:rPr>
          <w:rFonts w:ascii="Calibri" w:hAnsi="Calibri" w:cs="Calibri"/>
          <w:sz w:val="22"/>
          <w:szCs w:val="22"/>
        </w:rPr>
        <w:t xml:space="preserve">, Wilson N, Tickle P (2009) 1 second SRTM derived 3 second digital elevation model (DEM) version 1.0.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lastRenderedPageBreak/>
        <w:t xml:space="preserve">Johansen KGT, Trevithick R, </w:t>
      </w:r>
      <w:proofErr w:type="spellStart"/>
      <w:r>
        <w:rPr>
          <w:rFonts w:ascii="Calibri" w:hAnsi="Calibri" w:cs="Calibri"/>
          <w:sz w:val="22"/>
          <w:szCs w:val="22"/>
        </w:rPr>
        <w:t>Armston</w:t>
      </w:r>
      <w:proofErr w:type="spellEnd"/>
      <w:r>
        <w:rPr>
          <w:rFonts w:ascii="Calibri" w:hAnsi="Calibri" w:cs="Calibri"/>
          <w:sz w:val="22"/>
          <w:szCs w:val="22"/>
        </w:rPr>
        <w:t xml:space="preserve"> J, </w:t>
      </w:r>
      <w:proofErr w:type="spellStart"/>
      <w:r>
        <w:rPr>
          <w:rFonts w:ascii="Calibri" w:hAnsi="Calibri" w:cs="Calibri"/>
          <w:sz w:val="22"/>
          <w:szCs w:val="22"/>
        </w:rPr>
        <w:t>Scarth</w:t>
      </w:r>
      <w:proofErr w:type="spellEnd"/>
      <w:r>
        <w:rPr>
          <w:rFonts w:ascii="Calibri" w:hAnsi="Calibri" w:cs="Calibri"/>
          <w:sz w:val="22"/>
          <w:szCs w:val="22"/>
        </w:rPr>
        <w:t xml:space="preserve"> P, Flood N, </w:t>
      </w:r>
      <w:proofErr w:type="spellStart"/>
      <w:r>
        <w:rPr>
          <w:rFonts w:ascii="Calibri" w:hAnsi="Calibri" w:cs="Calibri"/>
          <w:sz w:val="22"/>
          <w:szCs w:val="22"/>
        </w:rPr>
        <w:t>Phinn</w:t>
      </w:r>
      <w:proofErr w:type="spellEnd"/>
      <w:r>
        <w:rPr>
          <w:rFonts w:ascii="Calibri" w:hAnsi="Calibri" w:cs="Calibri"/>
          <w:sz w:val="22"/>
          <w:szCs w:val="22"/>
        </w:rPr>
        <w:t xml:space="preserve"> S (2012) Landsat based persistent green-vegetation fraction for </w:t>
      </w:r>
      <w:proofErr w:type="spellStart"/>
      <w:r>
        <w:rPr>
          <w:rFonts w:ascii="Calibri" w:hAnsi="Calibri" w:cs="Calibri"/>
          <w:sz w:val="22"/>
          <w:szCs w:val="22"/>
        </w:rPr>
        <w:t>australia</w:t>
      </w:r>
      <w:proofErr w:type="spellEnd"/>
      <w:r>
        <w:rPr>
          <w:rFonts w:ascii="Calibri" w:hAnsi="Calibri" w:cs="Calibri"/>
          <w:sz w:val="22"/>
          <w:szCs w:val="22"/>
        </w:rPr>
        <w:t xml:space="preserve">. </w:t>
      </w:r>
      <w:r>
        <w:rPr>
          <w:rFonts w:ascii="Calibri" w:hAnsi="Calibri" w:cs="Calibri"/>
          <w:i/>
          <w:iCs/>
          <w:sz w:val="22"/>
          <w:szCs w:val="22"/>
        </w:rPr>
        <w:t xml:space="preserve">16th Australasian remote sensing and </w:t>
      </w:r>
      <w:proofErr w:type="spellStart"/>
      <w:r>
        <w:rPr>
          <w:rFonts w:ascii="Calibri" w:hAnsi="Calibri" w:cs="Calibri"/>
          <w:i/>
          <w:iCs/>
          <w:sz w:val="22"/>
          <w:szCs w:val="22"/>
        </w:rPr>
        <w:t>photogrammery</w:t>
      </w:r>
      <w:proofErr w:type="spellEnd"/>
      <w:r>
        <w:rPr>
          <w:rFonts w:ascii="Calibri" w:hAnsi="Calibri" w:cs="Calibri"/>
          <w:i/>
          <w:iCs/>
          <w:sz w:val="22"/>
          <w:szCs w:val="22"/>
        </w:rPr>
        <w:t xml:space="preserve"> conference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Kidd D, Webb M, Malone B, </w:t>
      </w:r>
      <w:proofErr w:type="spellStart"/>
      <w:r>
        <w:rPr>
          <w:rFonts w:ascii="Calibri" w:hAnsi="Calibri" w:cs="Calibri"/>
          <w:sz w:val="22"/>
          <w:szCs w:val="22"/>
        </w:rPr>
        <w:t>Minasny</w:t>
      </w:r>
      <w:proofErr w:type="spellEnd"/>
      <w:r>
        <w:rPr>
          <w:rFonts w:ascii="Calibri" w:hAnsi="Calibri" w:cs="Calibri"/>
          <w:sz w:val="22"/>
          <w:szCs w:val="22"/>
        </w:rPr>
        <w:t xml:space="preserve"> B, </w:t>
      </w:r>
      <w:proofErr w:type="spellStart"/>
      <w:r>
        <w:rPr>
          <w:rFonts w:ascii="Calibri" w:hAnsi="Calibri" w:cs="Calibri"/>
          <w:sz w:val="22"/>
          <w:szCs w:val="22"/>
        </w:rPr>
        <w:t>McBratney</w:t>
      </w:r>
      <w:proofErr w:type="spellEnd"/>
      <w:r>
        <w:rPr>
          <w:rFonts w:ascii="Calibri" w:hAnsi="Calibri" w:cs="Calibri"/>
          <w:sz w:val="22"/>
          <w:szCs w:val="22"/>
        </w:rPr>
        <w:t xml:space="preserve"> A (2015) Eighty-metre resolution 3D soil-attribute maps for </w:t>
      </w:r>
      <w:proofErr w:type="spellStart"/>
      <w:r>
        <w:rPr>
          <w:rFonts w:ascii="Calibri" w:hAnsi="Calibri" w:cs="Calibri"/>
          <w:sz w:val="22"/>
          <w:szCs w:val="22"/>
        </w:rPr>
        <w:t>tasmania</w:t>
      </w:r>
      <w:proofErr w:type="spellEnd"/>
      <w:r>
        <w:rPr>
          <w:rFonts w:ascii="Calibri" w:hAnsi="Calibri" w:cs="Calibri"/>
          <w:sz w:val="22"/>
          <w:szCs w:val="22"/>
        </w:rPr>
        <w:t xml:space="preserve">, </w:t>
      </w:r>
      <w:proofErr w:type="spellStart"/>
      <w:r>
        <w:rPr>
          <w:rFonts w:ascii="Calibri" w:hAnsi="Calibri" w:cs="Calibri"/>
          <w:sz w:val="22"/>
          <w:szCs w:val="22"/>
        </w:rPr>
        <w:t>australia</w:t>
      </w:r>
      <w:proofErr w:type="spellEnd"/>
      <w:r>
        <w:rPr>
          <w:rFonts w:ascii="Calibri" w:hAnsi="Calibri" w:cs="Calibri"/>
          <w:sz w:val="22"/>
          <w:szCs w:val="22"/>
        </w:rPr>
        <w:t xml:space="preserve">. </w:t>
      </w:r>
      <w:r>
        <w:rPr>
          <w:rFonts w:ascii="Calibri" w:hAnsi="Calibri" w:cs="Calibri"/>
          <w:i/>
          <w:iCs/>
          <w:sz w:val="22"/>
          <w:szCs w:val="22"/>
        </w:rPr>
        <w:t xml:space="preserve">Soil Research </w:t>
      </w:r>
      <w:r>
        <w:rPr>
          <w:rFonts w:ascii="Calibri" w:hAnsi="Calibri" w:cs="Calibri"/>
          <w:b/>
          <w:bCs/>
          <w:sz w:val="22"/>
          <w:szCs w:val="22"/>
        </w:rPr>
        <w:t xml:space="preserve">53, </w:t>
      </w:r>
      <w:r>
        <w:rPr>
          <w:rFonts w:ascii="Calibri" w:hAnsi="Calibri" w:cs="Calibri"/>
          <w:sz w:val="22"/>
          <w:szCs w:val="22"/>
        </w:rPr>
        <w:t xml:space="preserve">932-955. </w:t>
      </w:r>
    </w:p>
    <w:p w:rsidR="00444CEC" w:rsidRDefault="00444CEC">
      <w:pPr>
        <w:pStyle w:val="NormalWeb"/>
        <w:spacing w:line="480" w:lineRule="auto"/>
        <w:ind w:left="450" w:hanging="450"/>
        <w:divId w:val="863251481"/>
        <w:rPr>
          <w:rFonts w:ascii="Calibri" w:hAnsi="Calibri" w:cs="Calibri"/>
          <w:sz w:val="22"/>
          <w:szCs w:val="22"/>
        </w:rPr>
      </w:pPr>
      <w:proofErr w:type="spellStart"/>
      <w:r>
        <w:rPr>
          <w:rFonts w:ascii="Calibri" w:hAnsi="Calibri" w:cs="Calibri"/>
          <w:sz w:val="22"/>
          <w:szCs w:val="22"/>
        </w:rPr>
        <w:t>Littleboy</w:t>
      </w:r>
      <w:proofErr w:type="spellEnd"/>
      <w:r>
        <w:rPr>
          <w:rFonts w:ascii="Calibri" w:hAnsi="Calibri" w:cs="Calibri"/>
          <w:sz w:val="22"/>
          <w:szCs w:val="22"/>
        </w:rPr>
        <w:t xml:space="preserve"> M (1997) </w:t>
      </w:r>
      <w:proofErr w:type="gramStart"/>
      <w:r>
        <w:rPr>
          <w:rFonts w:ascii="Calibri" w:hAnsi="Calibri" w:cs="Calibri"/>
          <w:sz w:val="22"/>
          <w:szCs w:val="22"/>
        </w:rPr>
        <w:t>Spatial</w:t>
      </w:r>
      <w:proofErr w:type="gramEnd"/>
      <w:r>
        <w:rPr>
          <w:rFonts w:ascii="Calibri" w:hAnsi="Calibri" w:cs="Calibri"/>
          <w:sz w:val="22"/>
          <w:szCs w:val="22"/>
        </w:rPr>
        <w:t xml:space="preserve"> generalisation of biophysical simulation models for quantitative land evaluation: A case study for dryland wheat growing areas of </w:t>
      </w:r>
      <w:proofErr w:type="spellStart"/>
      <w:r>
        <w:rPr>
          <w:rFonts w:ascii="Calibri" w:hAnsi="Calibri" w:cs="Calibri"/>
          <w:sz w:val="22"/>
          <w:szCs w:val="22"/>
        </w:rPr>
        <w:t>queenland</w:t>
      </w:r>
      <w:proofErr w:type="spellEnd"/>
      <w:r>
        <w:rPr>
          <w:rFonts w:ascii="Calibri" w:hAnsi="Calibri" w:cs="Calibri"/>
          <w:sz w:val="22"/>
          <w:szCs w:val="22"/>
        </w:rPr>
        <w:t xml:space="preserve">.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Liu S, Raymond OL, Gallagher R, Zhang W, </w:t>
      </w:r>
      <w:proofErr w:type="spellStart"/>
      <w:r>
        <w:rPr>
          <w:rFonts w:ascii="Calibri" w:hAnsi="Calibri" w:cs="Calibri"/>
          <w:sz w:val="22"/>
          <w:szCs w:val="22"/>
        </w:rPr>
        <w:t>Highet</w:t>
      </w:r>
      <w:proofErr w:type="spellEnd"/>
      <w:r>
        <w:rPr>
          <w:rFonts w:ascii="Calibri" w:hAnsi="Calibri" w:cs="Calibri"/>
          <w:sz w:val="22"/>
          <w:szCs w:val="22"/>
        </w:rPr>
        <w:t xml:space="preserve"> LM (2012) Surface geology of </w:t>
      </w:r>
      <w:proofErr w:type="spellStart"/>
      <w:r>
        <w:rPr>
          <w:rFonts w:ascii="Calibri" w:hAnsi="Calibri" w:cs="Calibri"/>
          <w:sz w:val="22"/>
          <w:szCs w:val="22"/>
        </w:rPr>
        <w:t>australia</w:t>
      </w:r>
      <w:proofErr w:type="spellEnd"/>
      <w:r>
        <w:rPr>
          <w:rFonts w:ascii="Calibri" w:hAnsi="Calibri" w:cs="Calibri"/>
          <w:sz w:val="22"/>
          <w:szCs w:val="22"/>
        </w:rPr>
        <w:t xml:space="preserve">. </w:t>
      </w:r>
      <w:r>
        <w:rPr>
          <w:rFonts w:ascii="Calibri" w:hAnsi="Calibri" w:cs="Calibri"/>
          <w:b/>
          <w:bCs/>
          <w:sz w:val="22"/>
          <w:szCs w:val="22"/>
        </w:rPr>
        <w:t xml:space="preserve">1: 1,000,000,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Milligan PR, Franklin R, Minty BRS, Richardson LM, Percival PJ (2010) Magnetic anomaly map of </w:t>
      </w:r>
      <w:proofErr w:type="spellStart"/>
      <w:proofErr w:type="gramStart"/>
      <w:r>
        <w:rPr>
          <w:rFonts w:ascii="Calibri" w:hAnsi="Calibri" w:cs="Calibri"/>
          <w:sz w:val="22"/>
          <w:szCs w:val="22"/>
        </w:rPr>
        <w:t>australia</w:t>
      </w:r>
      <w:proofErr w:type="spellEnd"/>
      <w:proofErr w:type="gramEnd"/>
      <w:r>
        <w:rPr>
          <w:rFonts w:ascii="Calibri" w:hAnsi="Calibri" w:cs="Calibri"/>
          <w:sz w:val="22"/>
          <w:szCs w:val="22"/>
        </w:rPr>
        <w:t xml:space="preserve"> (fifth edition). </w:t>
      </w:r>
      <w:r>
        <w:rPr>
          <w:rFonts w:ascii="Calibri" w:hAnsi="Calibri" w:cs="Calibri"/>
          <w:i/>
          <w:iCs/>
          <w:sz w:val="22"/>
          <w:szCs w:val="22"/>
        </w:rPr>
        <w:t xml:space="preserve">Geoscience Australia, Canberra </w:t>
      </w:r>
      <w:r>
        <w:rPr>
          <w:rFonts w:ascii="Calibri" w:hAnsi="Calibri" w:cs="Calibri"/>
          <w:b/>
          <w:bCs/>
          <w:sz w:val="22"/>
          <w:szCs w:val="22"/>
        </w:rPr>
        <w:t xml:space="preserve">1:5 000 000,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Nakamura A, Milligan PR, (2015) Ternary radiometric image of </w:t>
      </w:r>
      <w:proofErr w:type="spellStart"/>
      <w:proofErr w:type="gramStart"/>
      <w:r>
        <w:rPr>
          <w:rFonts w:ascii="Calibri" w:hAnsi="Calibri" w:cs="Calibri"/>
          <w:sz w:val="22"/>
          <w:szCs w:val="22"/>
        </w:rPr>
        <w:t>australia</w:t>
      </w:r>
      <w:proofErr w:type="spellEnd"/>
      <w:proofErr w:type="gramEnd"/>
      <w:r>
        <w:rPr>
          <w:rFonts w:ascii="Calibri" w:hAnsi="Calibri" w:cs="Calibri"/>
          <w:sz w:val="22"/>
          <w:szCs w:val="22"/>
        </w:rPr>
        <w:t xml:space="preserve"> 2015.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Prescott JA (1950) A CLIMATIC INDEX FOR THE LEACHING FACTOR IN SOIL FORMATION. </w:t>
      </w:r>
      <w:r>
        <w:rPr>
          <w:rFonts w:ascii="Calibri" w:hAnsi="Calibri" w:cs="Calibri"/>
          <w:i/>
          <w:iCs/>
          <w:sz w:val="22"/>
          <w:szCs w:val="22"/>
        </w:rPr>
        <w:t xml:space="preserve">European Journal of Soil Science </w:t>
      </w:r>
      <w:r>
        <w:rPr>
          <w:rFonts w:ascii="Calibri" w:hAnsi="Calibri" w:cs="Calibri"/>
          <w:b/>
          <w:bCs/>
          <w:sz w:val="22"/>
          <w:szCs w:val="22"/>
        </w:rPr>
        <w:t xml:space="preserve">1, </w:t>
      </w:r>
      <w:r>
        <w:rPr>
          <w:rFonts w:ascii="Calibri" w:hAnsi="Calibri" w:cs="Calibri"/>
          <w:sz w:val="22"/>
          <w:szCs w:val="22"/>
        </w:rPr>
        <w:t xml:space="preserve">9-19. </w:t>
      </w:r>
    </w:p>
    <w:p w:rsidR="00444CEC" w:rsidRDefault="00444CEC">
      <w:pPr>
        <w:pStyle w:val="NormalWeb"/>
        <w:spacing w:line="480" w:lineRule="auto"/>
        <w:ind w:left="450" w:hanging="450"/>
        <w:divId w:val="863251481"/>
        <w:rPr>
          <w:rFonts w:ascii="Calibri" w:hAnsi="Calibri" w:cs="Calibri"/>
          <w:sz w:val="22"/>
          <w:szCs w:val="22"/>
        </w:rPr>
      </w:pPr>
      <w:proofErr w:type="spellStart"/>
      <w:r>
        <w:rPr>
          <w:rFonts w:ascii="Calibri" w:hAnsi="Calibri" w:cs="Calibri"/>
          <w:sz w:val="22"/>
          <w:szCs w:val="22"/>
        </w:rPr>
        <w:t>Rayment</w:t>
      </w:r>
      <w:proofErr w:type="spellEnd"/>
      <w:r>
        <w:rPr>
          <w:rFonts w:ascii="Calibri" w:hAnsi="Calibri" w:cs="Calibri"/>
          <w:sz w:val="22"/>
          <w:szCs w:val="22"/>
        </w:rPr>
        <w:t xml:space="preserve"> GE, Lyons DJ (2010) 'Soil Chemical Methods: Australasia. Australian Soil and Land Survey Handbook Vol. 3.' (CSIRO Publishing: Collingwood, Victoria.) </w:t>
      </w:r>
    </w:p>
    <w:p w:rsidR="00444CEC" w:rsidRDefault="00444CEC">
      <w:pPr>
        <w:pStyle w:val="NormalWeb"/>
        <w:spacing w:line="480" w:lineRule="auto"/>
        <w:ind w:left="450" w:hanging="450"/>
        <w:divId w:val="863251481"/>
        <w:rPr>
          <w:rFonts w:ascii="Calibri" w:hAnsi="Calibri" w:cs="Calibri"/>
          <w:sz w:val="22"/>
          <w:szCs w:val="22"/>
        </w:rPr>
      </w:pPr>
      <w:proofErr w:type="spellStart"/>
      <w:r>
        <w:rPr>
          <w:rFonts w:ascii="Calibri" w:hAnsi="Calibri" w:cs="Calibri"/>
          <w:sz w:val="22"/>
          <w:szCs w:val="22"/>
        </w:rPr>
        <w:t>Rosewell</w:t>
      </w:r>
      <w:proofErr w:type="spellEnd"/>
      <w:r>
        <w:rPr>
          <w:rFonts w:ascii="Calibri" w:hAnsi="Calibri" w:cs="Calibri"/>
          <w:sz w:val="22"/>
          <w:szCs w:val="22"/>
        </w:rPr>
        <w:t xml:space="preserve"> CJ, Loch RJ (2002) Chapter 28: Estimation of the RUSLE soil erodibility factor. In 'Soil physical measurement and interpretation for land evaluation'. (</w:t>
      </w:r>
      <w:proofErr w:type="spellStart"/>
      <w:r>
        <w:rPr>
          <w:rFonts w:ascii="Calibri" w:hAnsi="Calibri" w:cs="Calibri"/>
          <w:sz w:val="22"/>
          <w:szCs w:val="22"/>
        </w:rPr>
        <w:t>Eds</w:t>
      </w:r>
      <w:proofErr w:type="spellEnd"/>
      <w:r>
        <w:rPr>
          <w:rFonts w:ascii="Calibri" w:hAnsi="Calibri" w:cs="Calibri"/>
          <w:sz w:val="22"/>
          <w:szCs w:val="22"/>
        </w:rPr>
        <w:t xml:space="preserve"> NJ McKenzie, KJ Coughlan, H </w:t>
      </w:r>
      <w:proofErr w:type="spellStart"/>
      <w:r>
        <w:rPr>
          <w:rFonts w:ascii="Calibri" w:hAnsi="Calibri" w:cs="Calibri"/>
          <w:sz w:val="22"/>
          <w:szCs w:val="22"/>
        </w:rPr>
        <w:t>Cresswell</w:t>
      </w:r>
      <w:proofErr w:type="spellEnd"/>
      <w:r>
        <w:rPr>
          <w:rFonts w:ascii="Calibri" w:hAnsi="Calibri" w:cs="Calibri"/>
          <w:sz w:val="22"/>
          <w:szCs w:val="22"/>
        </w:rPr>
        <w:t xml:space="preserve">) pp. 360-369. (CSIRO Publishing: Melbourne)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t xml:space="preserve">Wilford J (2012) </w:t>
      </w:r>
      <w:proofErr w:type="gramStart"/>
      <w:r>
        <w:rPr>
          <w:rFonts w:ascii="Calibri" w:hAnsi="Calibri" w:cs="Calibri"/>
          <w:sz w:val="22"/>
          <w:szCs w:val="22"/>
        </w:rPr>
        <w:t>A</w:t>
      </w:r>
      <w:proofErr w:type="gramEnd"/>
      <w:r>
        <w:rPr>
          <w:rFonts w:ascii="Calibri" w:hAnsi="Calibri" w:cs="Calibri"/>
          <w:sz w:val="22"/>
          <w:szCs w:val="22"/>
        </w:rPr>
        <w:t xml:space="preserve"> weathering intensity index for the </w:t>
      </w:r>
      <w:proofErr w:type="spellStart"/>
      <w:r>
        <w:rPr>
          <w:rFonts w:ascii="Calibri" w:hAnsi="Calibri" w:cs="Calibri"/>
          <w:sz w:val="22"/>
          <w:szCs w:val="22"/>
        </w:rPr>
        <w:t>australian</w:t>
      </w:r>
      <w:proofErr w:type="spellEnd"/>
      <w:r>
        <w:rPr>
          <w:rFonts w:ascii="Calibri" w:hAnsi="Calibri" w:cs="Calibri"/>
          <w:sz w:val="22"/>
          <w:szCs w:val="22"/>
        </w:rPr>
        <w:t xml:space="preserve"> continent using airborne gamma-ray spectrometry and digital terrain analysis. </w:t>
      </w:r>
      <w:proofErr w:type="spellStart"/>
      <w:r>
        <w:rPr>
          <w:rFonts w:ascii="Calibri" w:hAnsi="Calibri" w:cs="Calibri"/>
          <w:i/>
          <w:iCs/>
          <w:sz w:val="22"/>
          <w:szCs w:val="22"/>
        </w:rPr>
        <w:t>Geoderma</w:t>
      </w:r>
      <w:proofErr w:type="spellEnd"/>
      <w:r>
        <w:rPr>
          <w:rFonts w:ascii="Calibri" w:hAnsi="Calibri" w:cs="Calibri"/>
          <w:i/>
          <w:iCs/>
          <w:sz w:val="22"/>
          <w:szCs w:val="22"/>
        </w:rPr>
        <w:t xml:space="preserve"> </w:t>
      </w:r>
      <w:r>
        <w:rPr>
          <w:rFonts w:ascii="Calibri" w:hAnsi="Calibri" w:cs="Calibri"/>
          <w:b/>
          <w:bCs/>
          <w:sz w:val="22"/>
          <w:szCs w:val="22"/>
        </w:rPr>
        <w:t xml:space="preserve">183–184, </w:t>
      </w:r>
      <w:r>
        <w:rPr>
          <w:rFonts w:ascii="Calibri" w:hAnsi="Calibri" w:cs="Calibri"/>
          <w:sz w:val="22"/>
          <w:szCs w:val="22"/>
        </w:rPr>
        <w:t xml:space="preserve">124-142. </w:t>
      </w:r>
    </w:p>
    <w:p w:rsidR="00444CEC" w:rsidRDefault="00444CEC">
      <w:pPr>
        <w:pStyle w:val="NormalWeb"/>
        <w:spacing w:line="480" w:lineRule="auto"/>
        <w:ind w:left="450" w:hanging="450"/>
        <w:divId w:val="863251481"/>
        <w:rPr>
          <w:rFonts w:ascii="Calibri" w:hAnsi="Calibri" w:cs="Calibri"/>
          <w:sz w:val="22"/>
          <w:szCs w:val="22"/>
        </w:rPr>
      </w:pPr>
      <w:r>
        <w:rPr>
          <w:rFonts w:ascii="Calibri" w:hAnsi="Calibri" w:cs="Calibri"/>
          <w:sz w:val="22"/>
          <w:szCs w:val="22"/>
        </w:rPr>
        <w:lastRenderedPageBreak/>
        <w:t xml:space="preserve">Wischmeier WH, Smith DD (1978) 'Predicting Rainfall Erosion Losses: A Guide to Conservation Planning. USDA Agricultural Handbook no. 537.' (USDA: Washington D.C.) </w:t>
      </w:r>
    </w:p>
    <w:p w:rsidR="00E65A62" w:rsidRDefault="00444CEC">
      <w:r>
        <w:fldChar w:fldCharType="end"/>
      </w:r>
    </w:p>
    <w:sectPr w:rsidR="00E65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A5E7E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1A74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4A6A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2AD0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0015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2A68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7803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A31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8C06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460D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DF60E3"/>
    <w:multiLevelType w:val="hybridMultilevel"/>
    <w:tmpl w:val="7DB884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C4"/>
    <w:rsid w:val="000161DC"/>
    <w:rsid w:val="0006663C"/>
    <w:rsid w:val="000B59E0"/>
    <w:rsid w:val="000F67F8"/>
    <w:rsid w:val="001A5764"/>
    <w:rsid w:val="001F55B1"/>
    <w:rsid w:val="00257879"/>
    <w:rsid w:val="00444CEC"/>
    <w:rsid w:val="004D61C4"/>
    <w:rsid w:val="004F126A"/>
    <w:rsid w:val="00530656"/>
    <w:rsid w:val="00552974"/>
    <w:rsid w:val="007460C1"/>
    <w:rsid w:val="008E6CA4"/>
    <w:rsid w:val="00966B49"/>
    <w:rsid w:val="00A373D6"/>
    <w:rsid w:val="00CB07B4"/>
    <w:rsid w:val="00E14EE9"/>
    <w:rsid w:val="00E27AF5"/>
    <w:rsid w:val="00E65A62"/>
    <w:rsid w:val="00E70BF8"/>
    <w:rsid w:val="00EF712C"/>
    <w:rsid w:val="00F0511F"/>
    <w:rsid w:val="00F503A3"/>
    <w:rsid w:val="00FB4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FEA09-4A96-4892-AF57-F07E9A7C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0C1"/>
  </w:style>
  <w:style w:type="paragraph" w:styleId="Heading1">
    <w:name w:val="heading 1"/>
    <w:basedOn w:val="Normal"/>
    <w:next w:val="Normal"/>
    <w:link w:val="Heading1Char"/>
    <w:uiPriority w:val="9"/>
    <w:qFormat/>
    <w:rsid w:val="00746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0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460C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460C1"/>
    <w:rPr>
      <w:i/>
      <w:iCs/>
      <w:color w:val="404040" w:themeColor="text1" w:themeTint="BF"/>
    </w:rPr>
  </w:style>
  <w:style w:type="paragraph" w:styleId="ListParagraph">
    <w:name w:val="List Paragraph"/>
    <w:basedOn w:val="Normal"/>
    <w:uiPriority w:val="34"/>
    <w:qFormat/>
    <w:rsid w:val="007460C1"/>
    <w:pPr>
      <w:ind w:left="720"/>
      <w:contextualSpacing/>
    </w:pPr>
  </w:style>
  <w:style w:type="character" w:customStyle="1" w:styleId="Heading1Char">
    <w:name w:val="Heading 1 Char"/>
    <w:basedOn w:val="DefaultParagraphFont"/>
    <w:link w:val="Heading1"/>
    <w:uiPriority w:val="9"/>
    <w:rsid w:val="007460C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460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60C1"/>
    <w:rPr>
      <w:rFonts w:eastAsiaTheme="minorEastAsia"/>
      <w:color w:val="5A5A5A" w:themeColor="text1" w:themeTint="A5"/>
      <w:spacing w:val="15"/>
    </w:rPr>
  </w:style>
  <w:style w:type="character" w:styleId="Emphasis">
    <w:name w:val="Emphasis"/>
    <w:basedOn w:val="DefaultParagraphFont"/>
    <w:uiPriority w:val="20"/>
    <w:qFormat/>
    <w:rsid w:val="007460C1"/>
    <w:rPr>
      <w:i/>
      <w:iCs/>
    </w:rPr>
  </w:style>
  <w:style w:type="character" w:customStyle="1" w:styleId="Heading2Char">
    <w:name w:val="Heading 2 Char"/>
    <w:basedOn w:val="DefaultParagraphFont"/>
    <w:link w:val="Heading2"/>
    <w:uiPriority w:val="9"/>
    <w:rsid w:val="007460C1"/>
    <w:rPr>
      <w:rFonts w:asciiTheme="majorHAnsi" w:eastAsiaTheme="majorEastAsia" w:hAnsiTheme="majorHAnsi" w:cstheme="majorBidi"/>
      <w:color w:val="2E74B5" w:themeColor="accent1" w:themeShade="BF"/>
      <w:sz w:val="26"/>
      <w:szCs w:val="26"/>
    </w:rPr>
  </w:style>
  <w:style w:type="table" w:customStyle="1" w:styleId="DSITIA-Blue">
    <w:name w:val="DSITIA - Blue"/>
    <w:basedOn w:val="TableNormal"/>
    <w:rsid w:val="000B59E0"/>
    <w:pPr>
      <w:keepNext/>
      <w:spacing w:after="0" w:line="240" w:lineRule="auto"/>
    </w:pPr>
    <w:rPr>
      <w:rFonts w:ascii="Arial" w:eastAsia="Times New Roman" w:hAnsi="Arial" w:cs="Times New Roman"/>
      <w:szCs w:val="20"/>
      <w:lang w:val="en-GB" w:eastAsia="en-G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85" w:type="dxa"/>
        <w:left w:w="113" w:type="dxa"/>
        <w:bottom w:w="28" w:type="dxa"/>
        <w:right w:w="113" w:type="dxa"/>
      </w:tblCellMar>
    </w:tblPr>
    <w:tblStylePr w:type="firstRow">
      <w:pPr>
        <w:wordWrap/>
        <w:spacing w:beforeLines="0" w:before="0" w:beforeAutospacing="0" w:afterLines="0" w:after="0" w:afterAutospacing="0" w:line="240" w:lineRule="auto"/>
      </w:pPr>
      <w:rPr>
        <w:rFonts w:ascii="Arial" w:hAnsi="Arial"/>
        <w:b w:val="0"/>
        <w:color w:val="FFFFFF" w:themeColor="background1"/>
        <w:sz w:val="24"/>
      </w:rPr>
      <w:tblPr>
        <w:tblCellMar>
          <w:top w:w="170" w:type="dxa"/>
          <w:left w:w="119" w:type="dxa"/>
          <w:bottom w:w="28" w:type="dxa"/>
          <w:right w:w="119" w:type="dxa"/>
        </w:tblCellMar>
      </w:tblPr>
      <w:tcPr>
        <w:shd w:val="clear" w:color="auto" w:fill="3B6E8F"/>
      </w:tcPr>
    </w:tblStylePr>
    <w:tblStylePr w:type="lastRow">
      <w:tblPr/>
      <w:tcPr>
        <w:tcBorders>
          <w:top w:val="single" w:sz="4" w:space="0" w:color="C0C0C0"/>
          <w:left w:val="single" w:sz="4" w:space="0" w:color="C0C0C0"/>
          <w:bottom w:val="single" w:sz="12" w:space="0" w:color="C0C0C0"/>
          <w:right w:val="single" w:sz="4" w:space="0" w:color="C0C0C0"/>
          <w:insideH w:val="nil"/>
          <w:insideV w:val="single" w:sz="4" w:space="0" w:color="C0C0C0"/>
          <w:tl2br w:val="nil"/>
          <w:tr2bl w:val="nil"/>
        </w:tcBorders>
      </w:tcPr>
    </w:tblStylePr>
    <w:tblStylePr w:type="firstCol">
      <w:tblPr/>
      <w:tcPr>
        <w:shd w:val="clear" w:color="auto" w:fill="E6E6E6"/>
      </w:tcPr>
    </w:tblStylePr>
  </w:style>
  <w:style w:type="paragraph" w:customStyle="1" w:styleId="Tableheadings">
    <w:name w:val="Table headings"/>
    <w:basedOn w:val="Normal"/>
    <w:qFormat/>
    <w:rsid w:val="000B59E0"/>
    <w:pPr>
      <w:spacing w:after="0" w:line="264" w:lineRule="auto"/>
    </w:pPr>
    <w:rPr>
      <w:rFonts w:ascii="Arial" w:eastAsia="Times New Roman" w:hAnsi="Arial" w:cs="Times New Roman"/>
      <w:b/>
      <w:bCs/>
      <w:color w:val="FFFFFF"/>
      <w:sz w:val="24"/>
      <w:szCs w:val="20"/>
    </w:rPr>
  </w:style>
  <w:style w:type="paragraph" w:customStyle="1" w:styleId="Tabletext">
    <w:name w:val="Table text"/>
    <w:basedOn w:val="Normal"/>
    <w:qFormat/>
    <w:rsid w:val="000B59E0"/>
    <w:pPr>
      <w:keepNext/>
      <w:spacing w:after="0" w:line="264" w:lineRule="auto"/>
    </w:pPr>
    <w:rPr>
      <w:rFonts w:ascii="Arial" w:eastAsia="Times New Roman" w:hAnsi="Arial" w:cs="Times New Roman"/>
      <w:sz w:val="20"/>
      <w:szCs w:val="20"/>
    </w:rPr>
  </w:style>
  <w:style w:type="paragraph" w:styleId="Caption">
    <w:name w:val="caption"/>
    <w:basedOn w:val="Normal"/>
    <w:next w:val="Normal"/>
    <w:uiPriority w:val="35"/>
    <w:unhideWhenUsed/>
    <w:qFormat/>
    <w:rsid w:val="000B59E0"/>
    <w:pPr>
      <w:spacing w:after="200" w:line="240" w:lineRule="auto"/>
    </w:pPr>
    <w:rPr>
      <w:i/>
      <w:iCs/>
      <w:color w:val="44546A" w:themeColor="text2"/>
      <w:sz w:val="18"/>
      <w:szCs w:val="18"/>
    </w:rPr>
  </w:style>
  <w:style w:type="character" w:customStyle="1" w:styleId="wikiexternallink">
    <w:name w:val="wikiexternallink"/>
    <w:basedOn w:val="DefaultParagraphFont"/>
    <w:rsid w:val="000161DC"/>
  </w:style>
  <w:style w:type="character" w:customStyle="1" w:styleId="wikigeneratedlinkcontent">
    <w:name w:val="wikigeneratedlinkcontent"/>
    <w:basedOn w:val="DefaultParagraphFont"/>
    <w:rsid w:val="000161DC"/>
  </w:style>
  <w:style w:type="table" w:styleId="TableGrid">
    <w:name w:val="Table Grid"/>
    <w:basedOn w:val="TableNormal"/>
    <w:uiPriority w:val="39"/>
    <w:rsid w:val="00016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5A62"/>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NoSpacing">
    <w:name w:val="No Spacing"/>
    <w:uiPriority w:val="1"/>
    <w:qFormat/>
    <w:rsid w:val="00CB07B4"/>
    <w:pPr>
      <w:spacing w:after="0" w:line="240" w:lineRule="auto"/>
    </w:pPr>
  </w:style>
  <w:style w:type="character" w:styleId="SubtleReference">
    <w:name w:val="Subtle Reference"/>
    <w:basedOn w:val="DefaultParagraphFont"/>
    <w:uiPriority w:val="31"/>
    <w:qFormat/>
    <w:rsid w:val="00CB07B4"/>
    <w:rPr>
      <w:smallCaps/>
      <w:color w:val="5A5A5A" w:themeColor="text1" w:themeTint="A5"/>
    </w:rPr>
  </w:style>
  <w:style w:type="character" w:styleId="IntenseReference">
    <w:name w:val="Intense Reference"/>
    <w:basedOn w:val="DefaultParagraphFont"/>
    <w:uiPriority w:val="32"/>
    <w:qFormat/>
    <w:rsid w:val="00CB07B4"/>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5896">
      <w:bodyDiv w:val="1"/>
      <w:marLeft w:val="0"/>
      <w:marRight w:val="0"/>
      <w:marTop w:val="0"/>
      <w:marBottom w:val="0"/>
      <w:divBdr>
        <w:top w:val="none" w:sz="0" w:space="0" w:color="auto"/>
        <w:left w:val="none" w:sz="0" w:space="0" w:color="auto"/>
        <w:bottom w:val="none" w:sz="0" w:space="0" w:color="auto"/>
        <w:right w:val="none" w:sz="0" w:space="0" w:color="auto"/>
      </w:divBdr>
    </w:div>
    <w:div w:id="94786068">
      <w:bodyDiv w:val="1"/>
      <w:marLeft w:val="0"/>
      <w:marRight w:val="0"/>
      <w:marTop w:val="0"/>
      <w:marBottom w:val="0"/>
      <w:divBdr>
        <w:top w:val="none" w:sz="0" w:space="0" w:color="auto"/>
        <w:left w:val="none" w:sz="0" w:space="0" w:color="auto"/>
        <w:bottom w:val="none" w:sz="0" w:space="0" w:color="auto"/>
        <w:right w:val="none" w:sz="0" w:space="0" w:color="auto"/>
      </w:divBdr>
    </w:div>
    <w:div w:id="141627472">
      <w:bodyDiv w:val="1"/>
      <w:marLeft w:val="0"/>
      <w:marRight w:val="0"/>
      <w:marTop w:val="0"/>
      <w:marBottom w:val="0"/>
      <w:divBdr>
        <w:top w:val="none" w:sz="0" w:space="0" w:color="auto"/>
        <w:left w:val="none" w:sz="0" w:space="0" w:color="auto"/>
        <w:bottom w:val="none" w:sz="0" w:space="0" w:color="auto"/>
        <w:right w:val="none" w:sz="0" w:space="0" w:color="auto"/>
      </w:divBdr>
    </w:div>
    <w:div w:id="144978638">
      <w:bodyDiv w:val="1"/>
      <w:marLeft w:val="0"/>
      <w:marRight w:val="0"/>
      <w:marTop w:val="0"/>
      <w:marBottom w:val="0"/>
      <w:divBdr>
        <w:top w:val="none" w:sz="0" w:space="0" w:color="auto"/>
        <w:left w:val="none" w:sz="0" w:space="0" w:color="auto"/>
        <w:bottom w:val="none" w:sz="0" w:space="0" w:color="auto"/>
        <w:right w:val="none" w:sz="0" w:space="0" w:color="auto"/>
      </w:divBdr>
    </w:div>
    <w:div w:id="151069318">
      <w:bodyDiv w:val="1"/>
      <w:marLeft w:val="0"/>
      <w:marRight w:val="0"/>
      <w:marTop w:val="0"/>
      <w:marBottom w:val="0"/>
      <w:divBdr>
        <w:top w:val="none" w:sz="0" w:space="0" w:color="auto"/>
        <w:left w:val="none" w:sz="0" w:space="0" w:color="auto"/>
        <w:bottom w:val="none" w:sz="0" w:space="0" w:color="auto"/>
        <w:right w:val="none" w:sz="0" w:space="0" w:color="auto"/>
      </w:divBdr>
    </w:div>
    <w:div w:id="161285936">
      <w:bodyDiv w:val="1"/>
      <w:marLeft w:val="0"/>
      <w:marRight w:val="0"/>
      <w:marTop w:val="0"/>
      <w:marBottom w:val="0"/>
      <w:divBdr>
        <w:top w:val="none" w:sz="0" w:space="0" w:color="auto"/>
        <w:left w:val="none" w:sz="0" w:space="0" w:color="auto"/>
        <w:bottom w:val="none" w:sz="0" w:space="0" w:color="auto"/>
        <w:right w:val="none" w:sz="0" w:space="0" w:color="auto"/>
      </w:divBdr>
    </w:div>
    <w:div w:id="170724554">
      <w:bodyDiv w:val="1"/>
      <w:marLeft w:val="0"/>
      <w:marRight w:val="0"/>
      <w:marTop w:val="0"/>
      <w:marBottom w:val="0"/>
      <w:divBdr>
        <w:top w:val="none" w:sz="0" w:space="0" w:color="auto"/>
        <w:left w:val="none" w:sz="0" w:space="0" w:color="auto"/>
        <w:bottom w:val="none" w:sz="0" w:space="0" w:color="auto"/>
        <w:right w:val="none" w:sz="0" w:space="0" w:color="auto"/>
      </w:divBdr>
    </w:div>
    <w:div w:id="183324782">
      <w:bodyDiv w:val="1"/>
      <w:marLeft w:val="0"/>
      <w:marRight w:val="0"/>
      <w:marTop w:val="0"/>
      <w:marBottom w:val="0"/>
      <w:divBdr>
        <w:top w:val="none" w:sz="0" w:space="0" w:color="auto"/>
        <w:left w:val="none" w:sz="0" w:space="0" w:color="auto"/>
        <w:bottom w:val="none" w:sz="0" w:space="0" w:color="auto"/>
        <w:right w:val="none" w:sz="0" w:space="0" w:color="auto"/>
      </w:divBdr>
    </w:div>
    <w:div w:id="263391989">
      <w:bodyDiv w:val="1"/>
      <w:marLeft w:val="0"/>
      <w:marRight w:val="0"/>
      <w:marTop w:val="0"/>
      <w:marBottom w:val="0"/>
      <w:divBdr>
        <w:top w:val="none" w:sz="0" w:space="0" w:color="auto"/>
        <w:left w:val="none" w:sz="0" w:space="0" w:color="auto"/>
        <w:bottom w:val="none" w:sz="0" w:space="0" w:color="auto"/>
        <w:right w:val="none" w:sz="0" w:space="0" w:color="auto"/>
      </w:divBdr>
    </w:div>
    <w:div w:id="318659899">
      <w:bodyDiv w:val="1"/>
      <w:marLeft w:val="0"/>
      <w:marRight w:val="0"/>
      <w:marTop w:val="0"/>
      <w:marBottom w:val="0"/>
      <w:divBdr>
        <w:top w:val="none" w:sz="0" w:space="0" w:color="auto"/>
        <w:left w:val="none" w:sz="0" w:space="0" w:color="auto"/>
        <w:bottom w:val="none" w:sz="0" w:space="0" w:color="auto"/>
        <w:right w:val="none" w:sz="0" w:space="0" w:color="auto"/>
      </w:divBdr>
    </w:div>
    <w:div w:id="551841883">
      <w:bodyDiv w:val="1"/>
      <w:marLeft w:val="0"/>
      <w:marRight w:val="0"/>
      <w:marTop w:val="0"/>
      <w:marBottom w:val="0"/>
      <w:divBdr>
        <w:top w:val="none" w:sz="0" w:space="0" w:color="auto"/>
        <w:left w:val="none" w:sz="0" w:space="0" w:color="auto"/>
        <w:bottom w:val="none" w:sz="0" w:space="0" w:color="auto"/>
        <w:right w:val="none" w:sz="0" w:space="0" w:color="auto"/>
      </w:divBdr>
    </w:div>
    <w:div w:id="651447801">
      <w:bodyDiv w:val="1"/>
      <w:marLeft w:val="0"/>
      <w:marRight w:val="0"/>
      <w:marTop w:val="0"/>
      <w:marBottom w:val="0"/>
      <w:divBdr>
        <w:top w:val="none" w:sz="0" w:space="0" w:color="auto"/>
        <w:left w:val="none" w:sz="0" w:space="0" w:color="auto"/>
        <w:bottom w:val="none" w:sz="0" w:space="0" w:color="auto"/>
        <w:right w:val="none" w:sz="0" w:space="0" w:color="auto"/>
      </w:divBdr>
    </w:div>
    <w:div w:id="706829476">
      <w:bodyDiv w:val="1"/>
      <w:marLeft w:val="0"/>
      <w:marRight w:val="0"/>
      <w:marTop w:val="0"/>
      <w:marBottom w:val="0"/>
      <w:divBdr>
        <w:top w:val="none" w:sz="0" w:space="0" w:color="auto"/>
        <w:left w:val="none" w:sz="0" w:space="0" w:color="auto"/>
        <w:bottom w:val="none" w:sz="0" w:space="0" w:color="auto"/>
        <w:right w:val="none" w:sz="0" w:space="0" w:color="auto"/>
      </w:divBdr>
    </w:div>
    <w:div w:id="728116475">
      <w:bodyDiv w:val="1"/>
      <w:marLeft w:val="0"/>
      <w:marRight w:val="0"/>
      <w:marTop w:val="0"/>
      <w:marBottom w:val="0"/>
      <w:divBdr>
        <w:top w:val="none" w:sz="0" w:space="0" w:color="auto"/>
        <w:left w:val="none" w:sz="0" w:space="0" w:color="auto"/>
        <w:bottom w:val="none" w:sz="0" w:space="0" w:color="auto"/>
        <w:right w:val="none" w:sz="0" w:space="0" w:color="auto"/>
      </w:divBdr>
    </w:div>
    <w:div w:id="831487568">
      <w:bodyDiv w:val="1"/>
      <w:marLeft w:val="0"/>
      <w:marRight w:val="0"/>
      <w:marTop w:val="0"/>
      <w:marBottom w:val="0"/>
      <w:divBdr>
        <w:top w:val="none" w:sz="0" w:space="0" w:color="auto"/>
        <w:left w:val="none" w:sz="0" w:space="0" w:color="auto"/>
        <w:bottom w:val="none" w:sz="0" w:space="0" w:color="auto"/>
        <w:right w:val="none" w:sz="0" w:space="0" w:color="auto"/>
      </w:divBdr>
    </w:div>
    <w:div w:id="846141510">
      <w:bodyDiv w:val="1"/>
      <w:marLeft w:val="0"/>
      <w:marRight w:val="0"/>
      <w:marTop w:val="0"/>
      <w:marBottom w:val="0"/>
      <w:divBdr>
        <w:top w:val="none" w:sz="0" w:space="0" w:color="auto"/>
        <w:left w:val="none" w:sz="0" w:space="0" w:color="auto"/>
        <w:bottom w:val="none" w:sz="0" w:space="0" w:color="auto"/>
        <w:right w:val="none" w:sz="0" w:space="0" w:color="auto"/>
      </w:divBdr>
    </w:div>
    <w:div w:id="863251481">
      <w:bodyDiv w:val="1"/>
      <w:marLeft w:val="0"/>
      <w:marRight w:val="0"/>
      <w:marTop w:val="0"/>
      <w:marBottom w:val="0"/>
      <w:divBdr>
        <w:top w:val="none" w:sz="0" w:space="0" w:color="auto"/>
        <w:left w:val="none" w:sz="0" w:space="0" w:color="auto"/>
        <w:bottom w:val="none" w:sz="0" w:space="0" w:color="auto"/>
        <w:right w:val="none" w:sz="0" w:space="0" w:color="auto"/>
      </w:divBdr>
    </w:div>
    <w:div w:id="975793083">
      <w:bodyDiv w:val="1"/>
      <w:marLeft w:val="0"/>
      <w:marRight w:val="0"/>
      <w:marTop w:val="0"/>
      <w:marBottom w:val="0"/>
      <w:divBdr>
        <w:top w:val="none" w:sz="0" w:space="0" w:color="auto"/>
        <w:left w:val="none" w:sz="0" w:space="0" w:color="auto"/>
        <w:bottom w:val="none" w:sz="0" w:space="0" w:color="auto"/>
        <w:right w:val="none" w:sz="0" w:space="0" w:color="auto"/>
      </w:divBdr>
    </w:div>
    <w:div w:id="991447628">
      <w:bodyDiv w:val="1"/>
      <w:marLeft w:val="0"/>
      <w:marRight w:val="0"/>
      <w:marTop w:val="0"/>
      <w:marBottom w:val="0"/>
      <w:divBdr>
        <w:top w:val="none" w:sz="0" w:space="0" w:color="auto"/>
        <w:left w:val="none" w:sz="0" w:space="0" w:color="auto"/>
        <w:bottom w:val="none" w:sz="0" w:space="0" w:color="auto"/>
        <w:right w:val="none" w:sz="0" w:space="0" w:color="auto"/>
      </w:divBdr>
    </w:div>
    <w:div w:id="1086194165">
      <w:bodyDiv w:val="1"/>
      <w:marLeft w:val="0"/>
      <w:marRight w:val="0"/>
      <w:marTop w:val="0"/>
      <w:marBottom w:val="0"/>
      <w:divBdr>
        <w:top w:val="none" w:sz="0" w:space="0" w:color="auto"/>
        <w:left w:val="none" w:sz="0" w:space="0" w:color="auto"/>
        <w:bottom w:val="none" w:sz="0" w:space="0" w:color="auto"/>
        <w:right w:val="none" w:sz="0" w:space="0" w:color="auto"/>
      </w:divBdr>
    </w:div>
    <w:div w:id="1144394438">
      <w:bodyDiv w:val="1"/>
      <w:marLeft w:val="0"/>
      <w:marRight w:val="0"/>
      <w:marTop w:val="0"/>
      <w:marBottom w:val="0"/>
      <w:divBdr>
        <w:top w:val="none" w:sz="0" w:space="0" w:color="auto"/>
        <w:left w:val="none" w:sz="0" w:space="0" w:color="auto"/>
        <w:bottom w:val="none" w:sz="0" w:space="0" w:color="auto"/>
        <w:right w:val="none" w:sz="0" w:space="0" w:color="auto"/>
      </w:divBdr>
    </w:div>
    <w:div w:id="1165820064">
      <w:bodyDiv w:val="1"/>
      <w:marLeft w:val="0"/>
      <w:marRight w:val="0"/>
      <w:marTop w:val="0"/>
      <w:marBottom w:val="0"/>
      <w:divBdr>
        <w:top w:val="none" w:sz="0" w:space="0" w:color="auto"/>
        <w:left w:val="none" w:sz="0" w:space="0" w:color="auto"/>
        <w:bottom w:val="none" w:sz="0" w:space="0" w:color="auto"/>
        <w:right w:val="none" w:sz="0" w:space="0" w:color="auto"/>
      </w:divBdr>
    </w:div>
    <w:div w:id="1172188151">
      <w:bodyDiv w:val="1"/>
      <w:marLeft w:val="0"/>
      <w:marRight w:val="0"/>
      <w:marTop w:val="0"/>
      <w:marBottom w:val="0"/>
      <w:divBdr>
        <w:top w:val="none" w:sz="0" w:space="0" w:color="auto"/>
        <w:left w:val="none" w:sz="0" w:space="0" w:color="auto"/>
        <w:bottom w:val="none" w:sz="0" w:space="0" w:color="auto"/>
        <w:right w:val="none" w:sz="0" w:space="0" w:color="auto"/>
      </w:divBdr>
    </w:div>
    <w:div w:id="1267736841">
      <w:bodyDiv w:val="1"/>
      <w:marLeft w:val="0"/>
      <w:marRight w:val="0"/>
      <w:marTop w:val="0"/>
      <w:marBottom w:val="0"/>
      <w:divBdr>
        <w:top w:val="none" w:sz="0" w:space="0" w:color="auto"/>
        <w:left w:val="none" w:sz="0" w:space="0" w:color="auto"/>
        <w:bottom w:val="none" w:sz="0" w:space="0" w:color="auto"/>
        <w:right w:val="none" w:sz="0" w:space="0" w:color="auto"/>
      </w:divBdr>
    </w:div>
    <w:div w:id="1337729174">
      <w:bodyDiv w:val="1"/>
      <w:marLeft w:val="0"/>
      <w:marRight w:val="0"/>
      <w:marTop w:val="0"/>
      <w:marBottom w:val="0"/>
      <w:divBdr>
        <w:top w:val="none" w:sz="0" w:space="0" w:color="auto"/>
        <w:left w:val="none" w:sz="0" w:space="0" w:color="auto"/>
        <w:bottom w:val="none" w:sz="0" w:space="0" w:color="auto"/>
        <w:right w:val="none" w:sz="0" w:space="0" w:color="auto"/>
      </w:divBdr>
      <w:divsChild>
        <w:div w:id="1179731691">
          <w:marLeft w:val="0"/>
          <w:marRight w:val="0"/>
          <w:marTop w:val="0"/>
          <w:marBottom w:val="0"/>
          <w:divBdr>
            <w:top w:val="none" w:sz="0" w:space="0" w:color="auto"/>
            <w:left w:val="none" w:sz="0" w:space="0" w:color="auto"/>
            <w:bottom w:val="none" w:sz="0" w:space="0" w:color="auto"/>
            <w:right w:val="none" w:sz="0" w:space="0" w:color="auto"/>
          </w:divBdr>
        </w:div>
      </w:divsChild>
    </w:div>
    <w:div w:id="1403092788">
      <w:bodyDiv w:val="1"/>
      <w:marLeft w:val="0"/>
      <w:marRight w:val="0"/>
      <w:marTop w:val="0"/>
      <w:marBottom w:val="0"/>
      <w:divBdr>
        <w:top w:val="none" w:sz="0" w:space="0" w:color="auto"/>
        <w:left w:val="none" w:sz="0" w:space="0" w:color="auto"/>
        <w:bottom w:val="none" w:sz="0" w:space="0" w:color="auto"/>
        <w:right w:val="none" w:sz="0" w:space="0" w:color="auto"/>
      </w:divBdr>
    </w:div>
    <w:div w:id="1543009196">
      <w:bodyDiv w:val="1"/>
      <w:marLeft w:val="0"/>
      <w:marRight w:val="0"/>
      <w:marTop w:val="0"/>
      <w:marBottom w:val="0"/>
      <w:divBdr>
        <w:top w:val="none" w:sz="0" w:space="0" w:color="auto"/>
        <w:left w:val="none" w:sz="0" w:space="0" w:color="auto"/>
        <w:bottom w:val="none" w:sz="0" w:space="0" w:color="auto"/>
        <w:right w:val="none" w:sz="0" w:space="0" w:color="auto"/>
      </w:divBdr>
    </w:div>
    <w:div w:id="1612082360">
      <w:bodyDiv w:val="1"/>
      <w:marLeft w:val="0"/>
      <w:marRight w:val="0"/>
      <w:marTop w:val="0"/>
      <w:marBottom w:val="0"/>
      <w:divBdr>
        <w:top w:val="none" w:sz="0" w:space="0" w:color="auto"/>
        <w:left w:val="none" w:sz="0" w:space="0" w:color="auto"/>
        <w:bottom w:val="none" w:sz="0" w:space="0" w:color="auto"/>
        <w:right w:val="none" w:sz="0" w:space="0" w:color="auto"/>
      </w:divBdr>
    </w:div>
    <w:div w:id="1639336089">
      <w:bodyDiv w:val="1"/>
      <w:marLeft w:val="0"/>
      <w:marRight w:val="0"/>
      <w:marTop w:val="0"/>
      <w:marBottom w:val="0"/>
      <w:divBdr>
        <w:top w:val="none" w:sz="0" w:space="0" w:color="auto"/>
        <w:left w:val="none" w:sz="0" w:space="0" w:color="auto"/>
        <w:bottom w:val="none" w:sz="0" w:space="0" w:color="auto"/>
        <w:right w:val="none" w:sz="0" w:space="0" w:color="auto"/>
      </w:divBdr>
    </w:div>
    <w:div w:id="1712223559">
      <w:bodyDiv w:val="1"/>
      <w:marLeft w:val="0"/>
      <w:marRight w:val="0"/>
      <w:marTop w:val="0"/>
      <w:marBottom w:val="0"/>
      <w:divBdr>
        <w:top w:val="none" w:sz="0" w:space="0" w:color="auto"/>
        <w:left w:val="none" w:sz="0" w:space="0" w:color="auto"/>
        <w:bottom w:val="none" w:sz="0" w:space="0" w:color="auto"/>
        <w:right w:val="none" w:sz="0" w:space="0" w:color="auto"/>
      </w:divBdr>
    </w:div>
    <w:div w:id="1753047254">
      <w:bodyDiv w:val="1"/>
      <w:marLeft w:val="0"/>
      <w:marRight w:val="0"/>
      <w:marTop w:val="0"/>
      <w:marBottom w:val="0"/>
      <w:divBdr>
        <w:top w:val="none" w:sz="0" w:space="0" w:color="auto"/>
        <w:left w:val="none" w:sz="0" w:space="0" w:color="auto"/>
        <w:bottom w:val="none" w:sz="0" w:space="0" w:color="auto"/>
        <w:right w:val="none" w:sz="0" w:space="0" w:color="auto"/>
      </w:divBdr>
    </w:div>
    <w:div w:id="1791973582">
      <w:bodyDiv w:val="1"/>
      <w:marLeft w:val="0"/>
      <w:marRight w:val="0"/>
      <w:marTop w:val="0"/>
      <w:marBottom w:val="0"/>
      <w:divBdr>
        <w:top w:val="none" w:sz="0" w:space="0" w:color="auto"/>
        <w:left w:val="none" w:sz="0" w:space="0" w:color="auto"/>
        <w:bottom w:val="none" w:sz="0" w:space="0" w:color="auto"/>
        <w:right w:val="none" w:sz="0" w:space="0" w:color="auto"/>
      </w:divBdr>
    </w:div>
    <w:div w:id="1822115913">
      <w:bodyDiv w:val="1"/>
      <w:marLeft w:val="0"/>
      <w:marRight w:val="0"/>
      <w:marTop w:val="0"/>
      <w:marBottom w:val="0"/>
      <w:divBdr>
        <w:top w:val="none" w:sz="0" w:space="0" w:color="auto"/>
        <w:left w:val="none" w:sz="0" w:space="0" w:color="auto"/>
        <w:bottom w:val="none" w:sz="0" w:space="0" w:color="auto"/>
        <w:right w:val="none" w:sz="0" w:space="0" w:color="auto"/>
      </w:divBdr>
    </w:div>
    <w:div w:id="1906406845">
      <w:bodyDiv w:val="1"/>
      <w:marLeft w:val="0"/>
      <w:marRight w:val="0"/>
      <w:marTop w:val="0"/>
      <w:marBottom w:val="0"/>
      <w:divBdr>
        <w:top w:val="none" w:sz="0" w:space="0" w:color="auto"/>
        <w:left w:val="none" w:sz="0" w:space="0" w:color="auto"/>
        <w:bottom w:val="none" w:sz="0" w:space="0" w:color="auto"/>
        <w:right w:val="none" w:sz="0" w:space="0" w:color="auto"/>
      </w:divBdr>
    </w:div>
    <w:div w:id="1910842020">
      <w:bodyDiv w:val="1"/>
      <w:marLeft w:val="0"/>
      <w:marRight w:val="0"/>
      <w:marTop w:val="0"/>
      <w:marBottom w:val="0"/>
      <w:divBdr>
        <w:top w:val="none" w:sz="0" w:space="0" w:color="auto"/>
        <w:left w:val="none" w:sz="0" w:space="0" w:color="auto"/>
        <w:bottom w:val="none" w:sz="0" w:space="0" w:color="auto"/>
        <w:right w:val="none" w:sz="0" w:space="0" w:color="auto"/>
      </w:divBdr>
    </w:div>
    <w:div w:id="1941571230">
      <w:bodyDiv w:val="1"/>
      <w:marLeft w:val="0"/>
      <w:marRight w:val="0"/>
      <w:marTop w:val="0"/>
      <w:marBottom w:val="0"/>
      <w:divBdr>
        <w:top w:val="none" w:sz="0" w:space="0" w:color="auto"/>
        <w:left w:val="none" w:sz="0" w:space="0" w:color="auto"/>
        <w:bottom w:val="none" w:sz="0" w:space="0" w:color="auto"/>
        <w:right w:val="none" w:sz="0" w:space="0" w:color="auto"/>
      </w:divBdr>
    </w:div>
    <w:div w:id="1959485554">
      <w:bodyDiv w:val="1"/>
      <w:marLeft w:val="0"/>
      <w:marRight w:val="0"/>
      <w:marTop w:val="0"/>
      <w:marBottom w:val="0"/>
      <w:divBdr>
        <w:top w:val="none" w:sz="0" w:space="0" w:color="auto"/>
        <w:left w:val="none" w:sz="0" w:space="0" w:color="auto"/>
        <w:bottom w:val="none" w:sz="0" w:space="0" w:color="auto"/>
        <w:right w:val="none" w:sz="0" w:space="0" w:color="auto"/>
      </w:divBdr>
    </w:div>
    <w:div w:id="2101490106">
      <w:bodyDiv w:val="1"/>
      <w:marLeft w:val="0"/>
      <w:marRight w:val="0"/>
      <w:marTop w:val="0"/>
      <w:marBottom w:val="0"/>
      <w:divBdr>
        <w:top w:val="none" w:sz="0" w:space="0" w:color="auto"/>
        <w:left w:val="none" w:sz="0" w:space="0" w:color="auto"/>
        <w:bottom w:val="none" w:sz="0" w:space="0" w:color="auto"/>
        <w:right w:val="none" w:sz="0" w:space="0" w:color="auto"/>
      </w:divBdr>
    </w:div>
    <w:div w:id="212483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uscover.org.au/purl/landsat-persistent-green-2000-20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38CFD-599E-46C6-AB90-5B02F8FF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7</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vt:lpstr>
    </vt:vector>
  </TitlesOfParts>
  <Company>Queensland Government</Company>
  <LinksUpToDate>false</LinksUpToDate>
  <CharactersWithSpaces>13989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ZUND Peter</dc:creator>
  <cp:keywords/>
  <dc:description/>
  <cp:lastModifiedBy>ZUND Peter</cp:lastModifiedBy>
  <cp:revision>15</cp:revision>
  <dcterms:created xsi:type="dcterms:W3CDTF">2017-10-30T00:12:00Z</dcterms:created>
  <dcterms:modified xsi:type="dcterms:W3CDTF">2017-11-03T06:22:00Z</dcterms:modified>
</cp:coreProperties>
</file>