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September 16, 2025</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(Adatum Municipal Works, Ref BEC-2025-0916)</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affecting the Microsoft 365 tenant of Adatum Municipal Works (primary domain adatum.com), which began on or about September 16, 2025 under engagement reference BEC-2025-0916. It summarizes the scope, findings, and remediation status of that investigation and supports Adatum Municipal Works’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focused on Microsoft 365 and Entra ID intrusions. The lead investigator, [Investigator Name], holds [certifications, e.g., GCIH, GCFA] and has conducted numerous business email compromise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a single mailbox, “powell4.michelle2@adatum.com,” was accessed without authorization on September 16, 2025, for approximately 75 minutes (from about 04:48 to 06:12 UTC). Initial access was obtained by abusing self-service password reset on an account with an expired password, from an ISP address in Nigeria. The activity was detected as unusual sign-in behavior and the account was disabled by an administrator.</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The evidence period spanned September 9 through September 16, 2025. Sources examined included Entra ID interactive sign-in logs, Entra ID audit logs, the Microsoft 365 Unified Audit Log, MailItemsAccessed events (available at the tenant’s licensing tier), and inbox-rule, forwarding, and delegate configuration state.</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is complete. Containment, eradication, and recovery actions have been performed and verified. Notification of the recipients of the outbound messages is being carried out by the client.</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Self-service password reset abuse on an account with an expired password; interactive browser access from a Nigerian ISP address.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None. No inbox rules, forwarding, delegate grants, or OAuth consents were established.</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Approximately 75 minutes of authenticated access on September 16, 2025.</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confirmed loss within tenant evidence; seven finance-themed messages were sent to recipients and represent a fraud risk.</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None observed within the tenant.</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Specific access to mailbox contents was confirmed via MailItemsAccessed audit events; the threat actor read multiple messages and forwarded invoice and payment-template content to external recipients. Data exposure is therefore confirmed for the affected mailbox. [Short Name] limits this statement to the evidence reviewed.</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the affected account was disabled and its sessions and refresh tokens revoked; the password was reset; and inbox rules, forwarding, and delegates were reviewed and confirmed clean. The complete set of outbound messages sent during the compromise was identified for recipient notification.</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MFA-gated or disabled SSPR and phishing-resistant MFA,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Adatum Municipal Works, version 1.0, dated September 16, 2025 (Ref BEC-2025-0916).</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Adatum Municipal Works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BEC-2025-0916</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Adatum Municipal Works Attestation Letter</dc:title>
  <dc:creator>[Your Organization]</dc:creator>
  <cp:lastModifiedBy>Un-named</cp:lastModifiedBy>
  <cp:revision>1</cp:revision>
  <dcterms:created xsi:type="dcterms:W3CDTF">2026-07-31T07:35:16.334Z</dcterms:created>
  <dcterms:modified xsi:type="dcterms:W3CDTF">2026-07-31T07:35:16.334Z</dcterms:modified>
</cp:coreProperties>
</file>

<file path=docProps/custom.xml><?xml version="1.0" encoding="utf-8"?>
<Properties xmlns="http://schemas.openxmlformats.org/officeDocument/2006/custom-properties" xmlns:vt="http://schemas.openxmlformats.org/officeDocument/2006/docPropsVTypes"/>
</file>