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Adatum Municipal Works</w:t>
      </w:r>
    </w:p>
    <w:p>
      <w:pPr>
        <w:spacing w:after="40"/>
        <w:jc w:val="center"/>
      </w:pPr>
      <w:r>
        <w:rPr>
          <w:rFonts w:ascii="Calibri" w:cs="Calibri" w:eastAsia="Calibri" w:hAnsi="Calibri"/>
          <w:color w:val="666666"/>
          <w:sz w:val="22"/>
          <w:szCs w:val="22"/>
        </w:rPr>
        <w:t xml:space="preserve">Primary M365 Domain: adatum.com</w:t>
      </w:r>
    </w:p>
    <w:p>
      <w:pPr>
        <w:spacing w:after="40"/>
        <w:jc w:val="center"/>
      </w:pPr>
      <w:r>
        <w:rPr>
          <w:rFonts w:ascii="Calibri" w:cs="Calibri" w:eastAsia="Calibri" w:hAnsi="Calibri"/>
          <w:color w:val="666666"/>
          <w:sz w:val="22"/>
          <w:szCs w:val="22"/>
        </w:rPr>
        <w:t xml:space="preserve">Report Date: September 16, 2025   |   Version 1.0</w:t>
      </w:r>
    </w:p>
    <w:p>
      <w:pPr>
        <w:spacing w:after="40"/>
        <w:jc w:val="center"/>
      </w:pPr>
      <w:r>
        <w:rPr>
          <w:rFonts w:ascii="Calibri" w:cs="Calibri" w:eastAsia="Calibri" w:hAnsi="Calibri"/>
          <w:color w:val="666666"/>
          <w:sz w:val="22"/>
          <w:szCs w:val="22"/>
        </w:rPr>
        <w:t xml:space="preserve">Incident Reference: BEC-2025-0916</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Adatum Municipal Works</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adatum.com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BEC-2025-0916</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September 16, 2025, at approximately 04:48 UTC, an unauthorized third party accessed the Microsoft 365 mailbox belonging to “powell4.michelle2@adatum.com” at Adatum Municipal Works. The threat actor authenticated from IP address 102.219.54.113 (Tizeti Network Limited, Thornbury, Coastal Region, Nigeria) using Chrome 139 on Windows 10 via One Outlook Web. The account’s password had expired, and the threat actor completed a self-service password reset (SSPR) at 04:50 UTC after three failed attempts, thereby obtaining full interactive access to the mailbox.</w:t>
      </w:r>
    </w:p>
    <w:p>
      <w:pPr>
        <w:spacing w:after="120" w:before="0" w:line="264"/>
      </w:pPr>
      <w:r>
        <w:rPr>
          <w:rFonts w:ascii="Calibri" w:cs="Calibri" w:eastAsia="Calibri" w:hAnsi="Calibri"/>
          <w:b w:val="false"/>
          <w:bCs w:val="false"/>
          <w:i w:val="false"/>
          <w:iCs w:val="false"/>
          <w:color w:val="1A1A1A"/>
          <w:sz w:val="22"/>
          <w:szCs w:val="22"/>
        </w:rPr>
        <w:t xml:space="preserve">Because the tenant’s licensing tier supports MailItemsAccessed audit logging, the investigation confirmed that the threat actor read multiple mailbox items and sent at least seven outbound messages between 04:51 and 05:05 UTC. The messages carried finance-themed subjects such as “FW: Invoice,” “FW: Maplewood_Invoice_7/2025,” “FW: ?GA-0010677? | Updated Payment Request Template,” and “RE: Meeting w/ MEAG Power - Power Supply Discussion,” consistent with business email compromise. An administrator disabled the account at 06:12 UTC and revoked all sessions and refresh tokens, ending an authenticated window of roughly 75 minutes.</w:t>
      </w:r>
    </w:p>
    <w:p>
      <w:pPr>
        <w:spacing w:after="120" w:before="0" w:line="264"/>
      </w:pPr>
      <w:r>
        <w:rPr>
          <w:rFonts w:ascii="Calibri" w:cs="Calibri" w:eastAsia="Calibri" w:hAnsi="Calibri"/>
          <w:b w:val="false"/>
          <w:bCs w:val="false"/>
          <w:i w:val="false"/>
          <w:iCs w:val="false"/>
          <w:color w:val="1A1A1A"/>
          <w:sz w:val="22"/>
          <w:szCs w:val="22"/>
        </w:rPr>
        <w:t xml:space="preserve">No unauthorized inbox rules, mail-forwarding configurations, or delegate grants were identified. The principal residual risk is to the recipients of the seven outbound messages, who may have received fraudulent payment instructions and should be notified. A separate low-volume SMTP brute-force pattern against the account (14 failed attempts, September 9 to 12) was also observed and is distinct from this compromise.</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Eradicated (recipient notification is a client follow-up)</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(powell4.michelle2@adatum.com)</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 fraud risk to message recipients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 (MailItemsAccessed reads and 7 outbound sends by the threat actor)</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 by client and counsel (municipal entity; potential records exposure)</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obtained access by abusing self-service password reset on an account with an expired password, indicating SSPR did not require sufficient additional verification.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MailItemsAccessed logging confirmed the threat actor read mailbox contents and sent at least seven finance-themed messages within a ~14-minute burst (04:51–05:05 UTC).</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authenticated session lasted approximately 75 minutes before administrative containment at 06:12 UTC.</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persistence (inbox rules, forwarding, delegation, OAuth grants) was established; the risk is carried forward primarily by the outbound fraudulent messages.</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Notify the recipients of the seven outbound messages that the mail was not sent by the account holder and may contain fraudulent payment instructions.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Require MFA verification for self-service password reset, or disable SSPR, to prevent password-reset takeover.</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Enforce phishing-resistant MFA for finance and vendor-facing users and restrict sign-ins from atypical geographies via Conditional Access.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Credential compromise via self-service password reset abuse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 unusual sign-in report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 ~04:48 UTC (SSPR completed 04:50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 06:12 UTC (account disabled)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 (password reset, token revocation)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~75 minutes of authenticated access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Supports MailItemsAccessed logging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 (item-level access available)</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Adatum Municipal Works]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reported unusual sign-ins on powell4.michelle2@adatum.com; determine access, persistence, data exposure, and outbound activity.</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and audit log retention limits; recipient-side impact not observable from tenant logs.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powell4.michelle2@adatum.com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SSPR takeover; mailbox reads and 7 outbound fraud messages; ~75 min access.</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 within tenant evidence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7 finance-themed messages sent to recipients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Minimal; single account</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Item-level audit logging confirmed the threat actor read multiple messages in the mailbox before sending outbound mail. The categories of data accessible in a municipal-works mailbox may include invoices, payment templates, and vendor correspondence.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Municipal entity; assess whether accessed records include regulated PII.</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Vendor and counterparty notification may be warranted given outbound fraud messages.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to review carrier notification terms.</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BEC playbook. Interactive sign-in records were correlated with Entra ID audit entries and Unified Audit Log events, and the tenant’s MailItemsAccessed logging was used to establish item-level read activity and to bound the outbound-send window.</w:t>
      </w:r>
    </w:p>
    <w:p>
      <w:pPr>
        <w:spacing w:after="120" w:before="0" w:line="264"/>
      </w:pPr>
      <w:r>
        <w:rPr>
          <w:rFonts w:ascii="Calibri" w:cs="Calibri" w:eastAsia="Calibri" w:hAnsi="Calibri"/>
          <w:b w:val="false"/>
          <w:bCs w:val="false"/>
          <w:i w:val="false"/>
          <w:iCs w:val="false"/>
          <w:color w:val="1A1A1A"/>
          <w:sz w:val="22"/>
          <w:szCs w:val="22"/>
        </w:rPr>
        <w:t xml:space="preserve">Findings were validated by cross-referencing the threat-actor IP address across sign-in, audit, and mailbox activity, and by reviewing inbox-rule, forwarding, and delegate configuration to confirm the absence of persistence.</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9 – Sep 16, 2025 (35 account events)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15, 2025 (20 entries)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(UAL)</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15 – Sep 16, 2025 (24 entries)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MailItemsAccessed Events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Available at tier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 15 – Sep 16,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 Forwarding / Delegate State</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Sep 16, 2025</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Recipient-side outcomes (whether any payment was altered or redirected) cannot be observed from Adatum’s tenant logs and require follow-up with recipients.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exact content of the sent messages was assessed from subjects and available copies; body-level fraud details may require message recovery.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2025-09-09 to 09-12</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14 failed SMTP authentication attempts against the account (separate brute-force pattern)</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04:48</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from 102.219.54.113 (Tizeti, Nigeria), Chrome 139 / Win10, One Outlook Web</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04:50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Self-service password reset completed after three failed attempts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04:51–05:05</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Read multiple mailbox items; sent at least 7 finance-themed messages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 / MailItemsAccessed</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06:12</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Administrator disabled the account; revoked sessions and refresh tokens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Password reset by administrator; inbox rules/forwarding/delegates reviewed (clean)</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was achieved by abusing self-service password reset. The account’s password had expired; the threat actor, operating from a Nigerian ISP address, completed an SSPR at 04:50 UTC after three failed attempts, setting a new password and obtaining interactive access. The presence of prior failed SMTP attempts suggests the actor had at least partial knowledge of the account, but the successful takeover was via SSPR rather than credential guessing.</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The threat-actor sign-in originated from 102.219.54.113 (Tizeti Network Limited, Thornbury, Coastal Region, Nigeria) using Chrome 139 on Windows 10 against One Outlook Web. This is inconsistent with the user’s baseline. Access was interactive and browser-based rather than token-replay, consistent with a password-reset takeover.</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No persistence mechanisms were identified.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Rules: none created by the threat actor.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configured.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Delegate / Mailbox Permissions: no changes.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OAuth Application Consents: none granted.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none observed.</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MailItemsAccessed events confirm the threat actor read multiple items in the mailbox during the session, focusing on finance-related correspondence prior to composing outbound messages.</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No lateral movement to other tenant accounts was identified. The outbound messages targeted external recipients rather than internal accounts.</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No bulk mailbox export was observed. Data movement occurred through the seven outbound messages, several of which forwarded existing invoice and payment-template content to external recipients.</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The threat actor sent at least seven outbound messages between 04:51 and 05:05 UTC, several with invoice and payment-request subjects. This is consistent with an attempt to induce fraudulent payments from the recipients. Observed subjects included: “What Else?,” “FW: ?GA-0010677? | Updated Payment Request Template,” “RE: Meeting w/ MEAG Power - Power Supply Discussion” (sent twice), “FW: Invoice” (sent twice), and “FW: Maplewood_Invoice_7/2025.”</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102.219.54.113</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04:48</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Tizeti Network Limited, Thornbury, NG; threat-actor access; Chrome 139 / Win10</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Operation</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Reset user password (SSPR)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Self-service reset completed 04:50 UTC after 3 failed attempts</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Operation</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Set-Mailbox / StsRefreshTokensValidFrom</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Administrative token revocation during containment</w:t>
            </w:r>
          </w:p>
        </w:tc>
      </w:tr>
    </w:tbl>
    <w:p>
      <w:pPr>
        <w:pStyle w:val="Heading2"/>
        <w:keepNext/>
        <w:spacing w:after="80" w:before="180"/>
      </w:pPr>
      <w:r>
        <w:rPr>
          <w:rFonts w:ascii="Calibri" w:cs="Calibri" w:eastAsia="Calibri" w:hAnsi="Calibri"/>
          <w:b/>
          <w:bCs/>
          <w:color w:val="2F5496"/>
          <w:sz w:val="24"/>
          <w:szCs w:val="24"/>
        </w:rPr>
        <w:t xml:space="preserve">7.3 Email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600"/>
        <w:gridCol w:w="3280"/>
      </w:tblGrid>
      <w:tr>
        <w:trPr>
          <w:tblHeader/>
        </w:trPr>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Field</w:t>
            </w:r>
          </w:p>
        </w:tc>
        <w:tc>
          <w:tcPr>
            <w:tcW w:type="dxa" w:w="4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Value</w:t>
            </w:r>
          </w:p>
        </w:tc>
        <w:tc>
          <w:tcPr>
            <w:tcW w:type="dxa" w:w="32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Subject</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FW: ?GA-0010677? | Updated Payment Request Template</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Outbound fraud message from compromised account</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Subject</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FW: Maplewood_Invoice_7/2025</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Outbound fraud message (forwarded invoice)</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Subject</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 Meeting w/ MEAG Power - Power Supply Discussion</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Outbound message (sent twice)</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Subject</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FW: Invoice</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Outbound fraud message (sent twice)</w:t>
            </w:r>
          </w:p>
        </w:tc>
      </w:tr>
    </w:tbl>
    <w:p>
      <w:pPr>
        <w:pStyle w:val="Heading2"/>
        <w:keepNext/>
        <w:spacing w:after="80" w:before="180"/>
      </w:pPr>
      <w:r>
        <w:rPr>
          <w:rFonts w:ascii="Calibri" w:cs="Calibri" w:eastAsia="Calibri" w:hAnsi="Calibri"/>
          <w:b/>
          <w:bCs/>
          <w:color w:val="2F5496"/>
          <w:sz w:val="24"/>
          <w:szCs w:val="24"/>
        </w:rPr>
        <w:t xml:space="preserve">7.4 Application and Persistence Indicators</w:t>
      </w:r>
    </w:p>
    <w:p>
      <w:pPr>
        <w:spacing w:after="120" w:before="0" w:line="264"/>
      </w:pPr>
      <w:r>
        <w:rPr>
          <w:rFonts w:ascii="Calibri" w:cs="Calibri" w:eastAsia="Calibri" w:hAnsi="Calibri"/>
          <w:b w:val="false"/>
          <w:bCs w:val="false"/>
          <w:i w:val="false"/>
          <w:iCs w:val="false"/>
          <w:color w:val="1A1A1A"/>
          <w:sz w:val="22"/>
          <w:szCs w:val="22"/>
        </w:rPr>
        <w:t xml:space="preserve">No persistence artifacts (OAuth applications, inbox rules, transport rules, or federated domains) were identified.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Because the tenant supports MailItemsAccessed logging, item-level read activity by the threat actor was directly observable. Exposure was assessed by correlating MailItemsAccessed events and outbound sends to the threat-actor IP and session.</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powell4.michelle2@adatum.com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Multiple (confirmed reads)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04:51–05:05 UTC, Sep 16</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Invoices, payment templates, vendor correspondence</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Possible; municipal correspondence may contain personal data. Under review.</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PCI / Financial Account Info</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Possible; payment templates and invoices were accessed.</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Attorney-Client Privileged</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Mailbox content access is confirmed by direct MailItemsAccessed evidence. The specific regulatory significance of the accessed messages should be assessed by the client and counsel. Outbound messages represent confirmed egress of some mailbox content to external recipients.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a self-service password reset process that permitted account takeover without sufficient additional verification. Combined with an expired password, this allowed the threat actor to set a new password and obtain full access.</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SSPR not gated behind strong MFA verification.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restriction on sign-ins from atypical geographies (Nigeria) for this account.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Absence of phishing-resistant MFA on a finance-facing mailbox.</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automated alert on SSPR completion followed by immediate sign-in from a new country.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 on high-volume or high-velocity outbound sends within a short window.</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 06:12</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Administrator disabled the account; revoked sessions and refresh 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StsRefreshTokensValidFrom updated</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Administrator reset the account password</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inbox rules, forwarding, and delegates, none malicious</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Configuration review</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Restored access under new credentials after re-securing</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2025-09-16</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Identified all outbound messages for recipient notification</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 / UAL</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A post-remediation review confirmed no residual persistence and identified the complete set of outbound messages sent during the compromise window so that recipients could be notified. Per the engagement, recipient notification is carried out by the client.</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Notify the recipients of the seven outbound messages and advise them to verify any payment instructions out-of-band.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Recover and review the sent-message bodies to determine whether banking details or wire instructions were altered.</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Require MFA verification for SSPR, or disable SSPR where not needed.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Conditional Access to restrict sign-ins from atypical geographies and to challenge risky sessions.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Enable alerting on SSPR events followed by new-location sign-ins, and on high-velocity outbound sends.</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Roll out phishing-resistant MFA for finance and vendor-facing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Disable legacy authentication (SMTP AUTH, IMAP, POP3) to remove the brute-force surface.</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Provide targeted training for staff handling invoices and vendor payments, emphasizing out-of-band verification.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Establish quarterly review of SSPR and Conditional Access configuration.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MailItemsAccessed logging was available and enabled a confident, evidence-based data-exposure determination.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account was contained within roughly 75 minutes and the full outbound-message set was identified for notification.</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SSPR abuse was possible because reset was not gated behind strong verification.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There was no automated detection of the anomalous reset-and-sign-in sequence.</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Harden SSPR and add detections for reset-then-new-location sign-in patterns.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outbound-send velocity alerting to catch BEC sends in near-real-time.</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16,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Adatum Municipal Works · BEC-2025-0916</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Adatum Municipal Works Investigation Report</dc:title>
  <dc:creator>[Your Organization]</dc:creator>
  <cp:lastModifiedBy>Un-named</cp:lastModifiedBy>
  <cp:revision>1</cp:revision>
  <dcterms:created xsi:type="dcterms:W3CDTF">2026-07-31T07:35:16.192Z</dcterms:created>
  <dcterms:modified xsi:type="dcterms:W3CDTF">2026-07-31T07:35:16.192Z</dcterms:modified>
</cp:coreProperties>
</file>

<file path=docProps/custom.xml><?xml version="1.0" encoding="utf-8"?>
<Properties xmlns="http://schemas.openxmlformats.org/officeDocument/2006/custom-properties" xmlns:vt="http://schemas.openxmlformats.org/officeDocument/2006/docPropsVTypes"/>
</file>