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i/>
          <w:iCs/>
          <w:color w:val="666666"/>
          <w:sz w:val="20"/>
          <w:szCs w:val="20"/>
        </w:rPr>
        <w:t xml:space="preserve">[LOGO]</w:t>
      </w:r>
    </w:p>
    <w:p>
      <w:pPr>
        <w:spacing w:after="80"/>
      </w:pPr>
      <w:r>
        <w:rPr>
          <w:rFonts w:ascii="Calibri" w:cs="Calibri" w:eastAsia="Calibri" w:hAnsi="Calibri"/>
          <w:b/>
          <w:bCs/>
          <w:color w:val="2F5496"/>
          <w:sz w:val="36"/>
          <w:szCs w:val="36"/>
        </w:rPr>
        <w:t xml:space="preserve">Security Incident Report (BEC-2025-0916)</w:t>
      </w:r>
    </w:p>
    <w:p>
      <w:pPr>
        <w:spacing w:after="120"/>
      </w:pPr>
      <w:r>
        <w:rPr>
          <w:rFonts w:ascii="Calibri" w:cs="Calibri" w:eastAsia="Calibri" w:hAnsi="Calibri"/>
          <w:b/>
          <w:bCs/>
          <w:color w:val="1A1A1A"/>
          <w:sz w:val="22"/>
          <w:szCs w:val="22"/>
        </w:rPr>
        <w:t xml:space="preserve">Adatum Municipal Works</w:t>
      </w:r>
    </w:p>
    <w:p>
      <w:pPr>
        <w:spacing w:after="120"/>
      </w:pPr>
      <w:r>
        <w:rPr>
          <w:rFonts w:ascii="Calibri" w:cs="Calibri" w:eastAsia="Calibri" w:hAnsi="Calibri"/>
          <w:b/>
          <w:bCs/>
          <w:color w:val="1A1A1A"/>
          <w:sz w:val="22"/>
          <w:szCs w:val="22"/>
        </w:rPr>
        <w:t xml:space="preserve">Report Date: </w:t>
      </w:r>
      <w:r>
        <w:rPr>
          <w:rFonts w:ascii="Calibri" w:cs="Calibri" w:eastAsia="Calibri" w:hAnsi="Calibri"/>
          <w:color w:val="1A1A1A"/>
          <w:sz w:val="22"/>
          <w:szCs w:val="22"/>
        </w:rPr>
        <w:t xml:space="preserve">September 16, 2025</w:t>
      </w:r>
    </w:p>
    <w:p>
      <w:pPr>
        <w:spacing w:after="120" w:before="240"/>
      </w:pPr>
      <w:r>
        <w:rPr>
          <w:rFonts w:ascii="Calibri" w:cs="Calibri" w:eastAsia="Calibri" w:hAnsi="Calibri"/>
          <w:b/>
          <w:bCs/>
          <w:color w:val="2F5496"/>
          <w:sz w:val="28"/>
          <w:szCs w:val="28"/>
        </w:rPr>
        <w:t xml:space="preserve">Executive Summary</w:t>
      </w:r>
    </w:p>
    <w:p>
      <w:pPr>
        <w:spacing w:after="120"/>
      </w:pPr>
      <w:r>
        <w:rPr>
          <w:rFonts w:ascii="Calibri" w:cs="Calibri" w:eastAsia="Calibri" w:hAnsi="Calibri"/>
          <w:b/>
          <w:bCs/>
          <w:color w:val="1A1A1A"/>
          <w:sz w:val="22"/>
          <w:szCs w:val="22"/>
        </w:rPr>
        <w:t xml:space="preserve">On September 16, 2025, at approximately 04:48 UTC, </w:t>
      </w:r>
      <w:r>
        <w:rPr>
          <w:rFonts w:ascii="Calibri" w:cs="Calibri" w:eastAsia="Calibri" w:hAnsi="Calibri"/>
          <w:color w:val="1A1A1A"/>
          <w:sz w:val="22"/>
          <w:szCs w:val="22"/>
        </w:rPr>
        <w:t xml:space="preserve">an unauthorized party accessed the Microsoft 365 account belonging to “powell4.michelle2@adatum.com.” The threat actor authenticated from IP address 102.219.54.113 (Tizeti Network Limited, Thornbury, Coastal Region, Nigeria) using Chrome 139 on Windows 10 via One Outlook Web. The account’s password had expired, and the threat actor successfully performed a self-service password reset at 04:50 UTC after three failed attempts, gaining full access to the mailbox.</w:t>
      </w:r>
    </w:p>
    <w:p>
      <w:pPr>
        <w:spacing w:after="120"/>
      </w:pPr>
      <w:r>
        <w:rPr>
          <w:rFonts w:ascii="Calibri" w:cs="Calibri" w:eastAsia="Calibri" w:hAnsi="Calibri"/>
          <w:color w:val="1A1A1A"/>
          <w:sz w:val="22"/>
          <w:szCs w:val="22"/>
        </w:rPr>
        <w:t xml:space="preserve">Due to the tenant’s license level supporting MailItemsAccessed audit logging, [Your Organization] was able to confirm that the threat actor read multiple mailbox items and sent at least seven outbound messages between 04:51 and 05:05 UTC. The sent messages included financially themed subjects such as “FW: Invoice,” “FW: Maplewood_Invoice_7/2025,” “FW: ?GA-0010677? | Updated Payment Request Template,” and “RE: Meeting w/ MEAG Power - Power Supply Discussion,” which are consistent with business email compromise (BEC) activity. The account was disabled by an administrator at 06:12 UTC, and all sessions and refresh tokens were revoked.</w:t>
      </w:r>
    </w:p>
    <w:p>
      <w:pPr>
        <w:spacing w:after="120" w:before="240"/>
      </w:pPr>
      <w:r>
        <w:rPr>
          <w:rFonts w:ascii="Calibri" w:cs="Calibri" w:eastAsia="Calibri" w:hAnsi="Calibri"/>
          <w:b/>
          <w:bCs/>
          <w:color w:val="2F5496"/>
          <w:sz w:val="28"/>
          <w:szCs w:val="28"/>
        </w:rPr>
        <w:t xml:space="preserve">Status:</w:t>
      </w:r>
      <w:r>
        <w:rPr>
          <w:rFonts w:ascii="Calibri" w:cs="Calibri" w:eastAsia="Calibri" w:hAnsi="Calibri"/>
          <w:b/>
          <w:bCs/>
          <w:color w:val="1A1A1A"/>
          <w:sz w:val="22"/>
          <w:szCs w:val="22"/>
        </w:rPr>
        <w:t xml:space="preserve"> Affected account identified and remediated; outbound messages sent by the threat actor require follow-up.</w:t>
      </w:r>
    </w:p>
    <w:p>
      <w:pPr>
        <w:pStyle w:val="ListParagraph"/>
        <w:numPr>
          <w:ilvl w:val="0"/>
          <w:numId w:val="2"/>
        </w:numPr>
        <w:spacing w:after="60"/>
      </w:pPr>
      <w:r>
        <w:rPr>
          <w:rFonts w:ascii="Calibri" w:cs="Calibri" w:eastAsia="Calibri" w:hAnsi="Calibri"/>
          <w:color w:val="1A1A1A"/>
          <w:sz w:val="22"/>
          <w:szCs w:val="22"/>
        </w:rPr>
        <w:t xml:space="preserve">The compromised account “powell4.michelle2@adatum.com” was disabled by an administrator at 06:12 UTC on September 16, 2025.</w:t>
      </w:r>
    </w:p>
    <w:p>
      <w:pPr>
        <w:pStyle w:val="ListParagraph"/>
        <w:numPr>
          <w:ilvl w:val="0"/>
          <w:numId w:val="2"/>
        </w:numPr>
        <w:spacing w:after="60"/>
      </w:pPr>
      <w:r>
        <w:rPr>
          <w:rFonts w:ascii="Calibri" w:cs="Calibri" w:eastAsia="Calibri" w:hAnsi="Calibri"/>
          <w:color w:val="1A1A1A"/>
          <w:sz w:val="22"/>
          <w:szCs w:val="22"/>
        </w:rPr>
        <w:t xml:space="preserve">The user’s password was reset by an administrator and all active sessions and refresh tokens (StsRefreshTokensValidFrom) were revoked.</w:t>
      </w:r>
    </w:p>
    <w:p>
      <w:pPr>
        <w:pStyle w:val="ListParagraph"/>
        <w:numPr>
          <w:ilvl w:val="0"/>
          <w:numId w:val="2"/>
        </w:numPr>
        <w:spacing w:after="60"/>
      </w:pPr>
      <w:r>
        <w:rPr>
          <w:rFonts w:ascii="Calibri" w:cs="Calibri" w:eastAsia="Calibri" w:hAnsi="Calibri"/>
          <w:color w:val="1A1A1A"/>
          <w:sz w:val="22"/>
          <w:szCs w:val="22"/>
        </w:rPr>
        <w:t xml:space="preserve">The threat actor held authenticated access to the mailbox for approximately 75 minutes (04:50 to 06:12 UTC) before the account was disabled.</w:t>
      </w:r>
    </w:p>
    <w:p>
      <w:pPr>
        <w:pStyle w:val="ListParagraph"/>
        <w:numPr>
          <w:ilvl w:val="0"/>
          <w:numId w:val="2"/>
        </w:numPr>
        <w:spacing w:after="60"/>
      </w:pPr>
      <w:r>
        <w:rPr>
          <w:rFonts w:ascii="Calibri" w:cs="Calibri" w:eastAsia="Calibri" w:hAnsi="Calibri"/>
          <w:color w:val="1A1A1A"/>
          <w:sz w:val="22"/>
          <w:szCs w:val="22"/>
        </w:rPr>
        <w:t xml:space="preserve">Seven outbound messages were sent from the account by the threat actor, several containing invoice and payment-related subject lines.</w:t>
      </w:r>
    </w:p>
    <w:p>
      <w:pPr>
        <w:pStyle w:val="ListParagraph"/>
        <w:numPr>
          <w:ilvl w:val="0"/>
          <w:numId w:val="2"/>
        </w:numPr>
        <w:spacing w:after="60"/>
      </w:pPr>
      <w:r>
        <w:rPr>
          <w:rFonts w:ascii="Calibri" w:cs="Calibri" w:eastAsia="Calibri" w:hAnsi="Calibri"/>
          <w:color w:val="1A1A1A"/>
          <w:sz w:val="22"/>
          <w:szCs w:val="22"/>
        </w:rPr>
        <w:t xml:space="preserve">No unauthorized inbox rules, mail-forwarding configurations, or delegated access grants were identified during the review.</w:t>
      </w:r>
    </w:p>
    <w:p>
      <w:pPr>
        <w:spacing w:after="120" w:before="240"/>
      </w:pPr>
      <w:r>
        <w:rPr>
          <w:rFonts w:ascii="Calibri" w:cs="Calibri" w:eastAsia="Calibri" w:hAnsi="Calibri"/>
          <w:b/>
          <w:bCs/>
          <w:color w:val="2F5496"/>
          <w:sz w:val="28"/>
          <w:szCs w:val="28"/>
        </w:rPr>
        <w:t xml:space="preserve">Impact:</w:t>
      </w:r>
      <w:r>
        <w:rPr>
          <w:rFonts w:ascii="Calibri" w:cs="Calibri" w:eastAsia="Calibri" w:hAnsi="Calibri"/>
          <w:b/>
          <w:bCs/>
          <w:color w:val="1A1A1A"/>
          <w:sz w:val="22"/>
          <w:szCs w:val="22"/>
        </w:rPr>
        <w:t xml:space="preserve"> Confirmed mailbox access and outbound email activity by the threat actor; potential financial fraud risk to message recipients.</w:t>
      </w:r>
    </w:p>
    <w:p>
      <w:pPr>
        <w:pStyle w:val="ListParagraph"/>
        <w:numPr>
          <w:ilvl w:val="0"/>
          <w:numId w:val="2"/>
        </w:numPr>
        <w:spacing w:after="60"/>
      </w:pPr>
      <w:r>
        <w:rPr>
          <w:rFonts w:ascii="Calibri" w:cs="Calibri" w:eastAsia="Calibri" w:hAnsi="Calibri"/>
          <w:color w:val="1A1A1A"/>
          <w:sz w:val="22"/>
          <w:szCs w:val="22"/>
        </w:rPr>
        <w:t xml:space="preserve">The threat actor read multiple email items in the compromised mailbox via Outlook Web Access (OWA).</w:t>
      </w:r>
    </w:p>
    <w:p>
      <w:pPr>
        <w:pStyle w:val="ListParagraph"/>
        <w:numPr>
          <w:ilvl w:val="0"/>
          <w:numId w:val="2"/>
        </w:numPr>
        <w:spacing w:after="60"/>
      </w:pPr>
      <w:r>
        <w:rPr>
          <w:rFonts w:ascii="Calibri" w:cs="Calibri" w:eastAsia="Calibri" w:hAnsi="Calibri"/>
          <w:color w:val="1A1A1A"/>
          <w:sz w:val="22"/>
          <w:szCs w:val="22"/>
        </w:rPr>
        <w:t xml:space="preserve">Seven messages were sent from the account by the threat actor between 04:51 and 05:05 UTC, including forwarded invoices and payment request templates. The subjects observed were: “What Else?,” “FW: ?GA-0010677? | Updated Payment Request Template,” “RE: Meeting w/ MEAG Power - Power Supply Discussion” (sent twice), “FW: Invoice” (sent twice), and “FW: Maplewood_Invoice_7/2025.”</w:t>
      </w:r>
    </w:p>
    <w:p>
      <w:pPr>
        <w:pStyle w:val="ListParagraph"/>
        <w:numPr>
          <w:ilvl w:val="0"/>
          <w:numId w:val="2"/>
        </w:numPr>
        <w:spacing w:after="60"/>
      </w:pPr>
      <w:r>
        <w:rPr>
          <w:rFonts w:ascii="Calibri" w:cs="Calibri" w:eastAsia="Calibri" w:hAnsi="Calibri"/>
          <w:color w:val="1A1A1A"/>
          <w:sz w:val="22"/>
          <w:szCs w:val="22"/>
        </w:rPr>
        <w:t xml:space="preserve">Recipients of these messages may have received fraudulent payment instructions or altered invoice details. Notification of affected recipients is recommended.</w:t>
      </w:r>
    </w:p>
    <w:p>
      <w:pPr>
        <w:pStyle w:val="ListParagraph"/>
        <w:numPr>
          <w:ilvl w:val="0"/>
          <w:numId w:val="2"/>
        </w:numPr>
        <w:spacing w:after="60"/>
      </w:pPr>
      <w:r>
        <w:rPr>
          <w:rFonts w:ascii="Calibri" w:cs="Calibri" w:eastAsia="Calibri" w:hAnsi="Calibri"/>
          <w:color w:val="1A1A1A"/>
          <w:sz w:val="22"/>
          <w:szCs w:val="22"/>
        </w:rPr>
        <w:t xml:space="preserve">No evidence of lateral movement to other tenant accounts was identified.</w:t>
      </w:r>
    </w:p>
    <w:p>
      <w:pPr>
        <w:spacing w:after="120" w:before="240"/>
      </w:pPr>
      <w:r>
        <w:rPr>
          <w:rFonts w:ascii="Calibri" w:cs="Calibri" w:eastAsia="Calibri" w:hAnsi="Calibri"/>
          <w:b/>
          <w:bCs/>
          <w:color w:val="2F5496"/>
          <w:sz w:val="28"/>
          <w:szCs w:val="28"/>
        </w:rPr>
        <w:t xml:space="preserve">Actions Performed:</w:t>
      </w:r>
    </w:p>
    <w:p>
      <w:pPr>
        <w:pStyle w:val="ListParagraph"/>
        <w:numPr>
          <w:ilvl w:val="0"/>
          <w:numId w:val="2"/>
        </w:numPr>
        <w:spacing w:after="60"/>
      </w:pPr>
      <w:r>
        <w:rPr>
          <w:rFonts w:ascii="Calibri" w:cs="Calibri" w:eastAsia="Calibri" w:hAnsi="Calibri"/>
          <w:color w:val="1A1A1A"/>
          <w:sz w:val="22"/>
          <w:szCs w:val="22"/>
        </w:rPr>
        <w:t xml:space="preserve">Disabled the compromised user account to terminate all active sessions.</w:t>
      </w:r>
    </w:p>
    <w:p>
      <w:pPr>
        <w:pStyle w:val="ListParagraph"/>
        <w:numPr>
          <w:ilvl w:val="0"/>
          <w:numId w:val="2"/>
        </w:numPr>
        <w:spacing w:after="60"/>
      </w:pPr>
      <w:r>
        <w:rPr>
          <w:rFonts w:ascii="Calibri" w:cs="Calibri" w:eastAsia="Calibri" w:hAnsi="Calibri"/>
          <w:color w:val="1A1A1A"/>
          <w:sz w:val="22"/>
          <w:szCs w:val="22"/>
        </w:rPr>
        <w:t xml:space="preserve">Reset the user’s password and revoked all OAuth/refresh tokens via StsRefreshTokensValidFrom invalidation.</w:t>
      </w:r>
    </w:p>
    <w:p>
      <w:pPr>
        <w:pStyle w:val="ListParagraph"/>
        <w:numPr>
          <w:ilvl w:val="0"/>
          <w:numId w:val="2"/>
        </w:numPr>
        <w:spacing w:after="60"/>
      </w:pPr>
      <w:r>
        <w:rPr>
          <w:rFonts w:ascii="Calibri" w:cs="Calibri" w:eastAsia="Calibri" w:hAnsi="Calibri"/>
          <w:color w:val="1A1A1A"/>
          <w:sz w:val="22"/>
          <w:szCs w:val="22"/>
        </w:rPr>
        <w:t xml:space="preserve">Reviewed inbox rules and mail-forwarding settings; none were malicious.</w:t>
      </w:r>
    </w:p>
    <w:p>
      <w:pPr>
        <w:pStyle w:val="ListParagraph"/>
        <w:numPr>
          <w:ilvl w:val="0"/>
          <w:numId w:val="2"/>
        </w:numPr>
        <w:spacing w:after="60"/>
      </w:pPr>
      <w:r>
        <w:rPr>
          <w:rFonts w:ascii="Calibri" w:cs="Calibri" w:eastAsia="Calibri" w:hAnsi="Calibri"/>
          <w:color w:val="1A1A1A"/>
          <w:sz w:val="22"/>
          <w:szCs w:val="22"/>
        </w:rPr>
        <w:t xml:space="preserve">Audited the Entra ID interactive sign-in logs for the period September 9 through September 16, 2025 (35 sign-in events for the affected account).</w:t>
      </w:r>
    </w:p>
    <w:p>
      <w:pPr>
        <w:pStyle w:val="ListParagraph"/>
        <w:numPr>
          <w:ilvl w:val="0"/>
          <w:numId w:val="2"/>
        </w:numPr>
        <w:spacing w:after="60"/>
      </w:pPr>
      <w:r>
        <w:rPr>
          <w:rFonts w:ascii="Calibri" w:cs="Calibri" w:eastAsia="Calibri" w:hAnsi="Calibri"/>
          <w:color w:val="1A1A1A"/>
          <w:sz w:val="22"/>
          <w:szCs w:val="22"/>
        </w:rPr>
        <w:t xml:space="preserve">Analyzed the Entra ID audit logs (20 entries) confirming the remediation actions taken by the administrator.</w:t>
      </w:r>
    </w:p>
    <w:p>
      <w:pPr>
        <w:pStyle w:val="ListParagraph"/>
        <w:numPr>
          <w:ilvl w:val="0"/>
          <w:numId w:val="2"/>
        </w:numPr>
        <w:spacing w:after="60"/>
      </w:pPr>
      <w:r>
        <w:rPr>
          <w:rFonts w:ascii="Calibri" w:cs="Calibri" w:eastAsia="Calibri" w:hAnsi="Calibri"/>
          <w:color w:val="1A1A1A"/>
          <w:sz w:val="22"/>
          <w:szCs w:val="22"/>
        </w:rPr>
        <w:t xml:space="preserve">Reviewed the Unified Audit Log (24 entries) to identify all MailItemsAccessed and sent-message (Update to Sent Items) activity from the threat actor’s IP address.</w:t>
      </w:r>
    </w:p>
    <w:p>
      <w:pPr>
        <w:pStyle w:val="ListParagraph"/>
        <w:numPr>
          <w:ilvl w:val="0"/>
          <w:numId w:val="2"/>
        </w:numPr>
        <w:spacing w:after="60"/>
      </w:pPr>
      <w:r>
        <w:rPr>
          <w:rFonts w:ascii="Calibri" w:cs="Calibri" w:eastAsia="Calibri" w:hAnsi="Calibri"/>
          <w:color w:val="1A1A1A"/>
          <w:sz w:val="22"/>
          <w:szCs w:val="22"/>
        </w:rPr>
        <w:t xml:space="preserve">Identified all outbound messages sent during the compromise window for recipient notification.</w:t>
      </w:r>
    </w:p>
    <w:p>
      <w:pPr>
        <w:spacing w:after="120" w:before="240"/>
      </w:pPr>
      <w:r>
        <w:rPr>
          <w:rFonts w:ascii="Calibri" w:cs="Calibri" w:eastAsia="Calibri" w:hAnsi="Calibri"/>
          <w:b/>
          <w:bCs/>
          <w:color w:val="2F5496"/>
          <w:sz w:val="28"/>
          <w:szCs w:val="28"/>
        </w:rPr>
        <w:t xml:space="preserve">Additional Observation: SMTP Brute-Force Activity</w:t>
      </w:r>
    </w:p>
    <w:p>
      <w:pPr>
        <w:spacing w:after="120"/>
      </w:pPr>
      <w:r>
        <w:rPr>
          <w:rFonts w:ascii="Calibri" w:cs="Calibri" w:eastAsia="Calibri" w:hAnsi="Calibri"/>
          <w:color w:val="1A1A1A"/>
          <w:sz w:val="22"/>
          <w:szCs w:val="22"/>
        </w:rPr>
        <w:t xml:space="preserve">During the review of the interactive sign-in logs, [Your Organization] identified 14 failed SMTP authentication attempts targeting the compromised account between September 9 and September 12, 2025. These attempts originated from IP addresses in India (Bharti Airtel, Vodafone Idea), Russia (Mikroel Ltd, LLC Cifrovie Seti Urala), China (China Mobile, China Telecom, CHINANET), South Korea (Korea Telecom), France (Keyyo SA), and the United States (Comcast, One Ring Networks). Several were blocked automatically by Microsoft for originating from IP addresses with known malicious activity. All SMTP attempts failed, and none resulted in successful authentication. This brute-force activity is a separate campaign from the account compromise described above, which was achieved through a self-service password reset rather than credential guessing.</w:t>
      </w:r>
    </w:p>
    <w:p>
      <w:pPr>
        <w:spacing w:after="120" w:before="240"/>
      </w:pPr>
      <w:r>
        <w:rPr>
          <w:rFonts w:ascii="Calibri" w:cs="Calibri" w:eastAsia="Calibri" w:hAnsi="Calibri"/>
          <w:b/>
          <w:bCs/>
          <w:color w:val="2F5496"/>
          <w:sz w:val="28"/>
          <w:szCs w:val="28"/>
        </w:rPr>
        <w:t xml:space="preserve">Recommendations</w:t>
      </w:r>
    </w:p>
    <w:p>
      <w:pPr>
        <w:pStyle w:val="ListParagraph"/>
        <w:numPr>
          <w:ilvl w:val="0"/>
          <w:numId w:val="2"/>
        </w:numPr>
        <w:spacing w:after="60" w:before="120"/>
      </w:pPr>
      <w:r>
        <w:rPr>
          <w:rFonts w:ascii="Calibri" w:cs="Calibri" w:eastAsia="Calibri" w:hAnsi="Calibri"/>
          <w:b/>
          <w:bCs/>
          <w:color w:val="1A1A1A"/>
          <w:sz w:val="22"/>
          <w:szCs w:val="22"/>
        </w:rPr>
        <w:t xml:space="preserve">Immediate Follow-Up</w:t>
      </w:r>
    </w:p>
    <w:p>
      <w:pPr>
        <w:pStyle w:val="ListParagraph"/>
        <w:numPr>
          <w:ilvl w:val="1"/>
          <w:numId w:val="2"/>
        </w:numPr>
        <w:spacing w:after="60"/>
      </w:pPr>
      <w:r>
        <w:rPr>
          <w:rFonts w:ascii="Calibri" w:cs="Calibri" w:eastAsia="Calibri" w:hAnsi="Calibri"/>
          <w:color w:val="1A1A1A"/>
          <w:sz w:val="22"/>
          <w:szCs w:val="22"/>
        </w:rPr>
        <w:t xml:space="preserve">Contact the recipients of the seven outbound messages sent during the compromise window to alert them that the messages were not sent by the legitimate account holder and may contain fraudulent payment instructions or altered invoice details.</w:t>
      </w:r>
    </w:p>
    <w:p>
      <w:pPr>
        <w:pStyle w:val="ListParagraph"/>
        <w:numPr>
          <w:ilvl w:val="1"/>
          <w:numId w:val="2"/>
        </w:numPr>
        <w:spacing w:after="60"/>
      </w:pPr>
      <w:r>
        <w:rPr>
          <w:rFonts w:ascii="Calibri" w:cs="Calibri" w:eastAsia="Calibri" w:hAnsi="Calibri"/>
          <w:color w:val="1A1A1A"/>
          <w:sz w:val="22"/>
          <w:szCs w:val="22"/>
        </w:rPr>
        <w:t xml:space="preserve">Review the content of the sent messages (if recoverable) to determine whether modified banking details, wire transfer instructions, or other financial fraud indicators were included.</w:t>
      </w:r>
    </w:p>
    <w:p>
      <w:pPr>
        <w:pStyle w:val="ListParagraph"/>
        <w:numPr>
          <w:ilvl w:val="0"/>
          <w:numId w:val="2"/>
        </w:numPr>
        <w:spacing w:after="60" w:before="120"/>
      </w:pPr>
      <w:r>
        <w:rPr>
          <w:rFonts w:ascii="Calibri" w:cs="Calibri" w:eastAsia="Calibri" w:hAnsi="Calibri"/>
          <w:b/>
          <w:bCs/>
          <w:color w:val="1A1A1A"/>
          <w:sz w:val="22"/>
          <w:szCs w:val="22"/>
        </w:rPr>
        <w:t xml:space="preserve">Identity &amp; Access</w:t>
      </w:r>
    </w:p>
    <w:p>
      <w:pPr>
        <w:pStyle w:val="ListParagraph"/>
        <w:numPr>
          <w:ilvl w:val="1"/>
          <w:numId w:val="2"/>
        </w:numPr>
        <w:spacing w:after="60"/>
      </w:pPr>
      <w:r>
        <w:rPr>
          <w:rFonts w:ascii="Calibri" w:cs="Calibri" w:eastAsia="Calibri" w:hAnsi="Calibri"/>
          <w:color w:val="1A1A1A"/>
          <w:sz w:val="22"/>
          <w:szCs w:val="22"/>
        </w:rPr>
        <w:t xml:space="preserve">Enforce phishing-resistant MFA (FIDO2 security keys or certificate-based authentication) for all users, particularly those with access to financial systems or vendor communications.</w:t>
      </w:r>
    </w:p>
    <w:p>
      <w:pPr>
        <w:pStyle w:val="ListParagraph"/>
        <w:numPr>
          <w:ilvl w:val="1"/>
          <w:numId w:val="2"/>
        </w:numPr>
        <w:spacing w:after="60"/>
      </w:pPr>
      <w:r>
        <w:rPr>
          <w:rFonts w:ascii="Calibri" w:cs="Calibri" w:eastAsia="Calibri" w:hAnsi="Calibri"/>
          <w:color w:val="1A1A1A"/>
          <w:sz w:val="22"/>
          <w:szCs w:val="22"/>
        </w:rPr>
        <w:t xml:space="preserve">Disable self-service password reset (SSPR) or restrict it to require MFA verification before permitting a password change, to prevent threat actors from resetting passwords with only compromised credentials.</w:t>
      </w:r>
    </w:p>
    <w:p>
      <w:pPr>
        <w:pStyle w:val="ListParagraph"/>
        <w:numPr>
          <w:ilvl w:val="1"/>
          <w:numId w:val="2"/>
        </w:numPr>
        <w:spacing w:after="60"/>
      </w:pPr>
      <w:r>
        <w:rPr>
          <w:rFonts w:ascii="Calibri" w:cs="Calibri" w:eastAsia="Calibri" w:hAnsi="Calibri"/>
          <w:color w:val="1A1A1A"/>
          <w:sz w:val="22"/>
          <w:szCs w:val="22"/>
        </w:rPr>
        <w:t xml:space="preserve">Implement Conditional Access policies restricting sign-ins from high-risk geolocations and requiring compliant/managed devices.</w:t>
      </w:r>
    </w:p>
    <w:p>
      <w:pPr>
        <w:pStyle w:val="ListParagraph"/>
        <w:numPr>
          <w:ilvl w:val="1"/>
          <w:numId w:val="2"/>
        </w:numPr>
        <w:spacing w:after="60"/>
      </w:pPr>
      <w:r>
        <w:rPr>
          <w:rFonts w:ascii="Calibri" w:cs="Calibri" w:eastAsia="Calibri" w:hAnsi="Calibri"/>
          <w:color w:val="1A1A1A"/>
          <w:sz w:val="22"/>
          <w:szCs w:val="22"/>
        </w:rPr>
        <w:t xml:space="preserve">Disable legacy authentication protocols (SMTP AUTH, IMAP, POP3) tenant-wide to eliminate the brute-force attack surface.</w:t>
      </w:r>
    </w:p>
    <w:p>
      <w:pPr>
        <w:pStyle w:val="ListParagraph"/>
        <w:numPr>
          <w:ilvl w:val="0"/>
          <w:numId w:val="2"/>
        </w:numPr>
        <w:spacing w:after="60" w:before="120"/>
      </w:pPr>
      <w:r>
        <w:rPr>
          <w:rFonts w:ascii="Calibri" w:cs="Calibri" w:eastAsia="Calibri" w:hAnsi="Calibri"/>
          <w:b/>
          <w:bCs/>
          <w:color w:val="1A1A1A"/>
          <w:sz w:val="22"/>
          <w:szCs w:val="22"/>
        </w:rPr>
        <w:t xml:space="preserve">Security Awareness</w:t>
      </w:r>
    </w:p>
    <w:p>
      <w:pPr>
        <w:pStyle w:val="ListParagraph"/>
        <w:numPr>
          <w:ilvl w:val="1"/>
          <w:numId w:val="2"/>
        </w:numPr>
        <w:spacing w:after="60"/>
      </w:pPr>
      <w:r>
        <w:rPr>
          <w:rFonts w:ascii="Calibri" w:cs="Calibri" w:eastAsia="Calibri" w:hAnsi="Calibri"/>
          <w:color w:val="1A1A1A"/>
          <w:sz w:val="22"/>
          <w:szCs w:val="22"/>
        </w:rPr>
        <w:t xml:space="preserve">Conduct targeted training for users who handle financial transactions, invoicing, and vendor communications, with emphasis on verifying payment changes through out-of-band confirmation.</w:t>
      </w:r>
    </w:p>
    <w:p>
      <w:pPr>
        <w:pStyle w:val="ListParagraph"/>
        <w:numPr>
          <w:ilvl w:val="1"/>
          <w:numId w:val="2"/>
        </w:numPr>
        <w:spacing w:after="60"/>
      </w:pPr>
      <w:r>
        <w:rPr>
          <w:rFonts w:ascii="Calibri" w:cs="Calibri" w:eastAsia="Calibri" w:hAnsi="Calibri"/>
          <w:color w:val="1A1A1A"/>
          <w:sz w:val="22"/>
          <w:szCs w:val="22"/>
        </w:rPr>
        <w:t xml:space="preserve">Communicate to staff that the organization has experienced an active BEC incident and reinforce procedures for reporting suspicious emails or payment requests.</w:t>
      </w:r>
    </w:p>
    <w:p>
      <w:pPr>
        <w:pStyle w:val="ListParagraph"/>
        <w:numPr>
          <w:ilvl w:val="0"/>
          <w:numId w:val="2"/>
        </w:numPr>
        <w:spacing w:after="60" w:before="120"/>
      </w:pPr>
      <w:r>
        <w:rPr>
          <w:rFonts w:ascii="Calibri" w:cs="Calibri" w:eastAsia="Calibri" w:hAnsi="Calibri"/>
          <w:b/>
          <w:bCs/>
          <w:color w:val="1A1A1A"/>
          <w:sz w:val="22"/>
          <w:szCs w:val="22"/>
        </w:rPr>
        <w:t xml:space="preserve">Monitoring &amp; Detection</w:t>
      </w:r>
    </w:p>
    <w:p>
      <w:pPr>
        <w:pStyle w:val="ListParagraph"/>
        <w:numPr>
          <w:ilvl w:val="1"/>
          <w:numId w:val="2"/>
        </w:numPr>
        <w:spacing w:after="60"/>
      </w:pPr>
      <w:r>
        <w:rPr>
          <w:rFonts w:ascii="Calibri" w:cs="Calibri" w:eastAsia="Calibri" w:hAnsi="Calibri"/>
          <w:color w:val="1A1A1A"/>
          <w:sz w:val="22"/>
          <w:szCs w:val="22"/>
        </w:rPr>
        <w:t xml:space="preserve">Configure alerts for sign-ins from countries outside the organization’s normal operating geography, with particular attention to authentication from residential ISPs in regions not associated with business operations.</w:t>
      </w:r>
    </w:p>
    <w:p>
      <w:pPr>
        <w:pStyle w:val="ListParagraph"/>
        <w:numPr>
          <w:ilvl w:val="1"/>
          <w:numId w:val="2"/>
        </w:numPr>
        <w:spacing w:after="60"/>
      </w:pPr>
      <w:r>
        <w:rPr>
          <w:rFonts w:ascii="Calibri" w:cs="Calibri" w:eastAsia="Calibri" w:hAnsi="Calibri"/>
          <w:color w:val="1A1A1A"/>
          <w:sz w:val="22"/>
          <w:szCs w:val="22"/>
        </w:rPr>
        <w:t xml:space="preserve">Establish alerts for self-service password reset events followed by sign-ins from new or anomalous locations.</w:t>
      </w:r>
    </w:p>
    <w:p>
      <w:pPr>
        <w:pStyle w:val="ListParagraph"/>
        <w:numPr>
          <w:ilvl w:val="1"/>
          <w:numId w:val="2"/>
        </w:numPr>
        <w:spacing w:after="60"/>
      </w:pPr>
      <w:r>
        <w:rPr>
          <w:rFonts w:ascii="Calibri" w:cs="Calibri" w:eastAsia="Calibri" w:hAnsi="Calibri"/>
          <w:color w:val="1A1A1A"/>
          <w:sz w:val="22"/>
          <w:szCs w:val="22"/>
        </w:rPr>
        <w:t xml:space="preserve">Review and extend sign-in and audit log retention to at least 90 days to support future investigations.</w:t>
      </w:r>
    </w:p>
    <w:p>
      <w:pPr>
        <w:pBdr>
          <w:top w:val="single" w:color="CCCCCC" w:sz="1"/>
        </w:pBdr>
        <w:spacing w:before="360"/>
      </w:pPr>
      <w:r>
        <w:rPr>
          <w:rFonts w:ascii="Calibri" w:cs="Calibri" w:eastAsia="Calibri" w:hAnsi="Calibri"/>
          <w:i/>
          <w:iCs/>
          <w:color w:val="666666"/>
          <w:sz w:val="18"/>
          <w:szCs w:val="18"/>
        </w:rPr>
        <w:t xml:space="preserve">CONFIDENTIAL — Prepared by [Your Organization] for Adatum Municipal Works. Ref: BEC-2025-0916. Distribution limited to authorized recipients.</w:t>
      </w:r>
    </w:p>
    <w:sectPr>
      <w:pgSz w:w="12240" w:h="15840" w:orient="portrait"/>
      <w:pgMar w:top="1152" w:right="1440" w:bottom="1152"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2026-07-29T02:43:29.628Z</dcterms:created>
  <dcterms:modified xsi:type="dcterms:W3CDTF">2026-07-29T02:43:29.645Z</dcterms:modified>
</cp:coreProperties>
</file>

<file path=docProps/custom.xml><?xml version="1.0" encoding="utf-8"?>
<Properties xmlns="http://schemas.openxmlformats.org/officeDocument/2006/custom-properties" xmlns:vt="http://schemas.openxmlformats.org/officeDocument/2006/docPropsVTypes"/>
</file>