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DECEA" w:color="auto" w:val="clear"/>
        <w:spacing w:after="120"/>
      </w:pPr>
      <w:r>
        <w:rPr>
          <w:rFonts w:ascii="Calibri" w:cs="Calibri" w:eastAsia="Calibri" w:hAnsi="Calibri"/>
          <w:b/>
          <w:bCs/>
          <w:color w:val="9C2A2A"/>
          <w:sz w:val="20"/>
          <w:szCs w:val="20"/>
        </w:rPr>
        <w:t xml:space="preserve">INTERNAL USE ONLY: Not for client or external distribution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Incident Response Post-Mortem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00"/>
        <w:gridCol w:w="6680"/>
      </w:tblGrid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Incident Reference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BEC-2025-0916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Adatum Municipal Works (redact for wide distribution)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Incident Date Range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September 16, 2025 (single-day incident)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Detection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September 16, 2025 (morning, unusual sign-in report)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Containment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September 16, 2025, 06:12 UTC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Post-Mortem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 Name]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Attendees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[Responder names / roles]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Internal, [team/department]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 USE ONLY: Not for client or external distribution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1. Incident Summary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 Adatum finance-facing mailbox was taken over via self-service password reset abuse on September 16, 2025. The attacker read mail and sent seven finance-themed messages before an administrator disabled the account about 75 minutes in. We had MailItemsAccessed logging, which let us prove what was read and sent. Recipient notification is a client follow-up. Full findings are in the investigation report (Ref BEC-2025-0916).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2. Response Timeline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Our actions and information received (not the attacker's timeline). Times in UTC.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50"/>
        <w:gridCol w:w="1600"/>
        <w:gridCol w:w="3600"/>
        <w:gridCol w:w="2530"/>
      </w:tblGrid>
      <w:tr>
        <w:trPr>
          <w:tblHeader/>
        </w:trPr>
        <w:tc>
          <w:tcPr>
            <w:tcW w:type="dxa" w:w="195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1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3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2025-09-16 morning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 / Helpdesk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Unusual sign-in reported for powell4.michelle2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95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2025-09-16 06:12</w:t>
            </w:r>
          </w:p>
        </w:tc>
        <w:tc>
          <w:tcPr>
            <w:tcW w:type="dxa" w:w="1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 / Admin</w:t>
            </w:r>
          </w:p>
        </w:tc>
        <w:tc>
          <w:tcPr>
            <w:tcW w:type="dxa" w:w="3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 disabled; sessions and tokens revoked</w:t>
            </w:r>
          </w:p>
        </w:tc>
        <w:tc>
          <w:tcPr>
            <w:tcW w:type="dxa" w:w="253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Containment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2025-09-16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Collected sign-in, audit, UAL, and MailItemsAccessed logs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5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2025-09-16</w:t>
            </w:r>
          </w:p>
        </w:tc>
        <w:tc>
          <w:tcPr>
            <w:tcW w:type="dxa" w:w="1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Confirmed reads and enumerated the 7 outbound messages</w:t>
            </w:r>
          </w:p>
        </w:tc>
        <w:tc>
          <w:tcPr>
            <w:tcW w:type="dxa" w:w="253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Evidence-based exposure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2025-09-16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Verified no persistence; delivered report and recipient list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3. What Went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MailItemsAccessed logging let us answer “what did they read and send” with evidence rather than inference.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enumerated the complete outbound-message set quickly so the client could begin recipient notification.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Containment ordering was correct and persistence review was thorough.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4. What Did Not Go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takeover succeeded because SSPR was not gated behind strong verification; our monitoring did not flag the reset-then-new-country sequence.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There was roughly a 75-minute window before containment, long enough for the outbound BEC sends.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depend on the client to reach recipients; we cannot see downstream payment outcomes.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5. Where We Got Lucky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attacker sent from the account rather than installing forwarding or a rule; had they set forwarding, the fraud thread could have continued invisibly for far longer.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compromise happened to be reported the same morning; a weekend timing could have added many hours of dwell.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6. Root Causes of Response Gaps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4680"/>
        <w:gridCol w:w="2000"/>
      </w:tblGrid>
      <w:tr>
        <w:trPr>
          <w:tblHeader/>
        </w:trPr>
        <w:tc>
          <w:tcPr>
            <w:tcW w:type="dxa" w:w="3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Surface Problem</w:t>
            </w:r>
          </w:p>
        </w:tc>
        <w:tc>
          <w:tcPr>
            <w:tcW w:type="dxa" w:w="46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Underlying Cause (5-Whys)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 taken over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SSPR allowed reset without strong verification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Slow detection</w:t>
            </w:r>
          </w:p>
        </w:tc>
        <w:tc>
          <w:tcPr>
            <w:tcW w:type="dxa" w:w="46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alert on reset-then-new-location sign-in</w:t>
            </w:r>
          </w:p>
        </w:tc>
        <w:tc>
          <w:tcPr>
            <w:tcW w:type="dxa" w:w="2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BEC sends completed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outbound-velocity alerting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Tooling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7. Action Items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0"/>
        <w:gridCol w:w="4180"/>
        <w:gridCol w:w="1400"/>
        <w:gridCol w:w="1400"/>
        <w:gridCol w:w="1200"/>
        <w:gridCol w:w="10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1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Gate SSPR behind MFA or disable it; verify with a test reset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[+14 days]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1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detection: SSPR completion followed by sign-in from new country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[+21 days]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1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outbound-send velocity alert (e.g., &gt;N sends in M minutes)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[+21 days]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1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Pilot phishing-resistant MFA for finance users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[+30 days]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8. Tooling and Playbook Changes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8.1 Scripts and 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Standardize MailItemsAccessed extraction and outbound-message enumeration for finance-mailbox BEC intake.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8.2 Playbook and Runbook Updates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an SSPR-abuse branch to the BEC playbook: check audit for reset events on the affected account first.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8.3 Detection and Alerting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on SSPR completion + new-country sign-in.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on outbound-send velocity spikes.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8.4 Documentation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KB: recovering and reviewing sent-message bodies for altered banking details, owner [Owner].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9. Training and Knowledge Gaps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Refresh finance-team training on out-of-band verification of payment changes.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10. Client Relationship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Municipal client; assess regulatory notification with counsel given potential PII in accessed records.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Client handles recipient notification; provide them a clean outbound-message list each time.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11. Response Metrics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200"/>
        <w:gridCol w:w="5880"/>
      </w:tblGrid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Dwell time (compromise to detection)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 same morning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Detection to containment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within the morning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Authenticated window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~75 minutes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Accounts affected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Messages sent by actor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 7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Mailboxes accessed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(confirmed reads)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Persistence artifacts found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Confirmed financial loss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 (recipient outcomes pending)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Did any recipient act on the fraudulent messages? Only recipient follow-up can answer this.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How did the actor obtain the knowledge needed to complete SSPR? Prior phishing is suspected but unconfirmed.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13. Follow-Up Schedule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1900"/>
        <w:gridCol w:w="1900"/>
        <w:gridCol w:w="4080"/>
      </w:tblGrid>
      <w:tr>
        <w:trPr>
          <w:tblHeader/>
        </w:trPr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0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Review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days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 SSPR hardening and new detections are live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 days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recipient-notification outcomes with client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 days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no recurrence; review MFA rollout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14. References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Investigation Report, Adatum Municipal Works, v1.0, September 16, 2025 (Ref BEC-2025-0916).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Attestation Letter (if issued), September 16, 2025.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Ticket / Case: BEC-2025-0916.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Revision History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00"/>
        <w:gridCol w:w="2200"/>
        <w:gridCol w:w="2600"/>
        <w:gridCol w:w="348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[Facilitator]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Initial draft from post-mortem meeting.</w:t>
            </w:r>
          </w:p>
        </w:tc>
      </w:tr>
      <w:tr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  <w:tc>
          <w:tcPr>
            <w:tcW w:type="dxa" w:w="2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[Facilitator]</w:t>
            </w:r>
          </w:p>
        </w:tc>
        <w:tc>
          <w:tcPr>
            <w:tcW w:type="dxa" w:w="34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Final; action items tracked separately.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666666"/>
        <w:sz w:val="16"/>
        <w:szCs w:val="16"/>
      </w:rPr>
      <w:t xml:space="preserve">INTERNAL USE ONLY · BEC-2025-0916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Adatum Municipal Works Post-Mortem</dc:title>
  <dc:creator>[Your Organization]</dc:creator>
  <cp:lastModifiedBy>Un-named</cp:lastModifiedBy>
  <cp:revision>1</cp:revision>
  <dcterms:created xsi:type="dcterms:W3CDTF">2026-07-31T07:35:16.360Z</dcterms:created>
  <dcterms:modified xsi:type="dcterms:W3CDTF">2026-07-31T07:35:16.360Z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