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496"/>
          <w:sz w:val="28"/>
          <w:szCs w:val="28"/>
        </w:rPr>
        <w:t xml:space="preserve">[LOGO]  [Your Organization]</w:t>
      </w:r>
    </w:p>
    <w:p>
      <w:pPr>
        <w:pBdr>
          <w:bottom w:val="single" w:color="2F5496" w:sz="6" w:space="2"/>
        </w:pBdr>
        <w:spacing w:after="0"/>
      </w:pPr>
      <w:r>
        <w:rPr>
          <w:rFonts w:ascii="Calibri" w:cs="Calibri" w:eastAsia="Calibri" w:hAnsi="Calibri"/>
          <w:color w:val="666666"/>
          <w:sz w:val="18"/>
          <w:szCs w:val="18"/>
        </w:rPr>
        <w:t xml:space="preserve">[Street Address] · [City, State ZIP] · [Phone] · [Email] · [Website]</w:t>
      </w:r>
    </w:p>
    <w:p>
      <w:pPr>
        <w:spacing w:after="160" w:before="160" w:line="264"/>
      </w:pPr>
      <w:r>
        <w:rPr>
          <w:rFonts w:ascii="Calibri" w:cs="Calibri" w:eastAsia="Calibri" w:hAnsi="Calibri"/>
          <w:b/>
          <w:bCs/>
          <w:i w:val="false"/>
          <w:iCs w:val="false"/>
          <w:color w:val="666666"/>
          <w:sz w:val="20"/>
          <w:szCs w:val="20"/>
        </w:rPr>
        <w:t xml:space="preserve">CONFIDENTIAL</w:t>
      </w:r>
    </w:p>
    <w:p>
      <w:pPr>
        <w:spacing w:after="120" w:before="0" w:line="264"/>
      </w:pPr>
      <w:r>
        <w:rPr>
          <w:rFonts w:ascii="Calibri" w:cs="Calibri" w:eastAsia="Calibri" w:hAnsi="Calibri"/>
          <w:b w:val="false"/>
          <w:bCs w:val="false"/>
          <w:i w:val="false"/>
          <w:iCs w:val="false"/>
          <w:color w:val="1A1A1A"/>
          <w:sz w:val="22"/>
          <w:szCs w:val="22"/>
        </w:rPr>
        <w:t xml:space="preserve">October 31, 2025</w:t>
      </w:r>
    </w:p>
    <w:p>
      <w:pPr>
        <w:spacing w:after="0" w:before="0" w:line="264"/>
      </w:pPr>
      <w:r>
        <w:rPr>
          <w:rFonts w:ascii="Calibri" w:cs="Calibri" w:eastAsia="Calibri" w:hAnsi="Calibri"/>
          <w:b w:val="false"/>
          <w:bCs w:val="false"/>
          <w:i w:val="false"/>
          <w:iCs w:val="false"/>
          <w:color w:val="1A1A1A"/>
          <w:sz w:val="22"/>
          <w:szCs w:val="22"/>
        </w:rPr>
        <w:t xml:space="preserve">[Recipient Name]</w:t>
      </w:r>
    </w:p>
    <w:p>
      <w:pPr>
        <w:spacing w:after="0" w:before="0" w:line="264"/>
      </w:pPr>
      <w:r>
        <w:rPr>
          <w:rFonts w:ascii="Calibri" w:cs="Calibri" w:eastAsia="Calibri" w:hAnsi="Calibri"/>
          <w:b w:val="false"/>
          <w:bCs w:val="false"/>
          <w:i w:val="false"/>
          <w:iCs w:val="false"/>
          <w:color w:val="1A1A1A"/>
          <w:sz w:val="22"/>
          <w:szCs w:val="22"/>
        </w:rPr>
        <w:t xml:space="preserve">[Recipient Title]</w:t>
      </w:r>
    </w:p>
    <w:p>
      <w:pPr>
        <w:spacing w:after="0" w:before="0" w:line="264"/>
      </w:pPr>
      <w:r>
        <w:rPr>
          <w:rFonts w:ascii="Calibri" w:cs="Calibri" w:eastAsia="Calibri" w:hAnsi="Calibri"/>
          <w:b w:val="false"/>
          <w:bCs w:val="false"/>
          <w:i w:val="false"/>
          <w:iCs w:val="false"/>
          <w:color w:val="1A1A1A"/>
          <w:sz w:val="22"/>
          <w:szCs w:val="22"/>
        </w:rPr>
        <w:t xml:space="preserve">[Recipient Organization]</w:t>
      </w:r>
    </w:p>
    <w:p>
      <w:pPr>
        <w:spacing w:after="160" w:before="0" w:line="264"/>
      </w:pPr>
      <w:r>
        <w:rPr>
          <w:rFonts w:ascii="Calibri" w:cs="Calibri" w:eastAsia="Calibri" w:hAnsi="Calibri"/>
          <w:b w:val="false"/>
          <w:bCs w:val="false"/>
          <w:i w:val="false"/>
          <w:iCs w:val="false"/>
          <w:color w:val="1A1A1A"/>
          <w:sz w:val="22"/>
          <w:szCs w:val="22"/>
        </w:rPr>
        <w:t xml:space="preserve">[Address]</w:t>
      </w:r>
    </w:p>
    <w:p>
      <w:pPr>
        <w:spacing w:after="160" w:before="0" w:line="264"/>
      </w:pPr>
      <w:r>
        <w:rPr>
          <w:rFonts w:ascii="Calibri" w:cs="Calibri" w:eastAsia="Calibri" w:hAnsi="Calibri"/>
          <w:b/>
          <w:bCs/>
          <w:i w:val="false"/>
          <w:iCs w:val="false"/>
          <w:color w:val="1A1A1A"/>
          <w:sz w:val="22"/>
          <w:szCs w:val="22"/>
        </w:rPr>
        <w:t xml:space="preserve">Re:  Attestation of Investigation - Business Email Compromise Incident (ACME, ltd., Ref BEC-2025-1030)</w:t>
      </w:r>
    </w:p>
    <w:p>
      <w:pPr>
        <w:spacing w:after="120" w:before="0" w:line="264"/>
      </w:pPr>
      <w:r>
        <w:rPr>
          <w:rFonts w:ascii="Calibri" w:cs="Calibri" w:eastAsia="Calibri" w:hAnsi="Calibri"/>
          <w:b w:val="false"/>
          <w:bCs w:val="false"/>
          <w:i w:val="false"/>
          <w:iCs w:val="false"/>
          <w:color w:val="1A1A1A"/>
          <w:sz w:val="22"/>
          <w:szCs w:val="22"/>
        </w:rPr>
        <w:t xml:space="preserve">Dear [Recipient Name / To Whom It May Concern]:</w:t>
      </w:r>
    </w:p>
    <w:p>
      <w:pPr>
        <w:spacing w:after="120" w:before="0" w:line="264"/>
      </w:pPr>
      <w:r>
        <w:rPr>
          <w:rFonts w:ascii="Calibri" w:cs="Calibri" w:eastAsia="Calibri" w:hAnsi="Calibri"/>
          <w:b w:val="false"/>
          <w:bCs w:val="false"/>
          <w:i w:val="false"/>
          <w:iCs w:val="false"/>
          <w:color w:val="1A1A1A"/>
          <w:sz w:val="22"/>
          <w:szCs w:val="22"/>
        </w:rPr>
        <w:t xml:space="preserve">This letter attests to the findings of an investigation conducted by [Your Organization] (hereinafter “[Short Name]”) into a business email compromise incident affecting the Microsoft 365 tenant of ACME, ltd. (primary domain acme.com), which began on or about October 30, 2025 under engagement reference BEC-2025-1030. It summarizes the scope, findings, and remediation status of that investigation and is provided to support ACME, ltd.’s communications with the named recipient.</w:t>
      </w:r>
    </w:p>
    <w:p>
      <w:pPr>
        <w:keepNext/>
        <w:spacing w:after="60" w:before="160"/>
      </w:pPr>
      <w:r>
        <w:rPr>
          <w:rFonts w:ascii="Calibri" w:cs="Calibri" w:eastAsia="Calibri" w:hAnsi="Calibri"/>
          <w:b/>
          <w:bCs/>
          <w:color w:val="2F5496"/>
          <w:sz w:val="24"/>
          <w:szCs w:val="24"/>
        </w:rPr>
        <w:t xml:space="preserve">Investigator Qualifications</w:t>
      </w:r>
    </w:p>
    <w:p>
      <w:pPr>
        <w:spacing w:after="120" w:before="0" w:line="264"/>
      </w:pPr>
      <w:r>
        <w:rPr>
          <w:rFonts w:ascii="Calibri" w:cs="Calibri" w:eastAsia="Calibri" w:hAnsi="Calibri"/>
          <w:b w:val="false"/>
          <w:bCs w:val="false"/>
          <w:i w:val="false"/>
          <w:iCs w:val="false"/>
          <w:color w:val="1A1A1A"/>
          <w:sz w:val="22"/>
          <w:szCs w:val="22"/>
        </w:rPr>
        <w:t xml:space="preserve">[Your Organization] provides digital forensics and incident response services with a focus on Microsoft 365 and Entra ID intrusions. The lead investigator, [Investigator Name], holds [certifications, e.g., GCIH, GCFA] and has conducted numerous business email compromise investigations.</w:t>
      </w:r>
    </w:p>
    <w:p>
      <w:pPr>
        <w:keepNext/>
        <w:spacing w:after="60" w:before="160"/>
      </w:pPr>
      <w:r>
        <w:rPr>
          <w:rFonts w:ascii="Calibri" w:cs="Calibri" w:eastAsia="Calibri" w:hAnsi="Calibri"/>
          <w:b/>
          <w:bCs/>
          <w:color w:val="2F5496"/>
          <w:sz w:val="24"/>
          <w:szCs w:val="24"/>
        </w:rPr>
        <w:t xml:space="preserve">Incident Summary</w:t>
      </w:r>
    </w:p>
    <w:p>
      <w:pPr>
        <w:spacing w:after="120" w:before="0" w:line="264"/>
      </w:pPr>
      <w:r>
        <w:rPr>
          <w:rFonts w:ascii="Calibri" w:cs="Calibri" w:eastAsia="Calibri" w:hAnsi="Calibri"/>
          <w:b w:val="false"/>
          <w:bCs w:val="false"/>
          <w:i w:val="false"/>
          <w:iCs w:val="false"/>
          <w:color w:val="1A1A1A"/>
          <w:sz w:val="22"/>
          <w:szCs w:val="22"/>
        </w:rPr>
        <w:t xml:space="preserve">The investigation determined that a single mailbox, “victoria1.heather3@acme.com,” was accessed without authorization for approximately five minutes on October 30, 2025 (from about 23:17 to 23:23 UTC). Initial access was consistent with adversary-in-the-middle (AiTM) phishing that captured the user’s credentials and a valid session token, evidenced by the reuse of a single session identifier across sign-ins from a Nigerian IP address and a hosting/VPN provider (M247 Europe SRL). The activity was detected as unusual sign-in behavior and the account was disabled promptly.</w:t>
      </w:r>
    </w:p>
    <w:p>
      <w:pPr>
        <w:keepNext/>
        <w:spacing w:after="60" w:before="160"/>
      </w:pPr>
      <w:r>
        <w:rPr>
          <w:rFonts w:ascii="Calibri" w:cs="Calibri" w:eastAsia="Calibri" w:hAnsi="Calibri"/>
          <w:b/>
          <w:bCs/>
          <w:color w:val="2F5496"/>
          <w:sz w:val="24"/>
          <w:szCs w:val="24"/>
        </w:rPr>
        <w:t xml:space="preserve">Scope of Investigation</w:t>
      </w:r>
    </w:p>
    <w:p>
      <w:pPr>
        <w:spacing w:after="120" w:before="0" w:line="264"/>
      </w:pPr>
      <w:r>
        <w:rPr>
          <w:rFonts w:ascii="Calibri" w:cs="Calibri" w:eastAsia="Calibri" w:hAnsi="Calibri"/>
          <w:b w:val="false"/>
          <w:bCs w:val="false"/>
          <w:i w:val="false"/>
          <w:iCs w:val="false"/>
          <w:color w:val="1A1A1A"/>
          <w:sz w:val="22"/>
          <w:szCs w:val="22"/>
        </w:rPr>
        <w:t xml:space="preserve">The evidence period spanned October 21 through November 1, 2025. Sources examined included Entra ID interactive sign-in logs, Entra ID audit logs, inbox-rule and Set-Mailbox change logs, mailbox forwarding and delegate configuration, and tenant transport-rule and organization configuration state. Item-level mailbox access logging (MailItemsAccessed) was not available at the tenant’s licensing tier; this limitation is noted where relevant.</w:t>
      </w:r>
    </w:p>
    <w:p>
      <w:pPr>
        <w:keepNext/>
        <w:spacing w:after="60" w:before="160"/>
      </w:pPr>
      <w:r>
        <w:rPr>
          <w:rFonts w:ascii="Calibri" w:cs="Calibri" w:eastAsia="Calibri" w:hAnsi="Calibri"/>
          <w:b/>
          <w:bCs/>
          <w:color w:val="2F5496"/>
          <w:sz w:val="24"/>
          <w:szCs w:val="24"/>
        </w:rPr>
        <w:t xml:space="preserve">Investigation Status</w:t>
      </w:r>
    </w:p>
    <w:p>
      <w:pPr>
        <w:spacing w:after="120" w:before="0" w:line="264"/>
      </w:pPr>
      <w:r>
        <w:rPr>
          <w:rFonts w:ascii="Calibri" w:cs="Calibri" w:eastAsia="Calibri" w:hAnsi="Calibri"/>
          <w:b w:val="false"/>
          <w:bCs w:val="false"/>
          <w:i w:val="false"/>
          <w:iCs w:val="false"/>
          <w:color w:val="1A1A1A"/>
          <w:sz w:val="22"/>
          <w:szCs w:val="22"/>
        </w:rPr>
        <w:t xml:space="preserve">The investigation is complete. Containment, eradication, and recovery actions have been performed and verified as described below.</w:t>
      </w:r>
    </w:p>
    <w:p>
      <w:pPr>
        <w:keepNext/>
        <w:spacing w:after="60" w:before="160"/>
      </w:pPr>
      <w:r>
        <w:rPr>
          <w:rFonts w:ascii="Calibri" w:cs="Calibri" w:eastAsia="Calibri" w:hAnsi="Calibri"/>
          <w:b/>
          <w:bCs/>
          <w:color w:val="2F5496"/>
          <w:sz w:val="24"/>
          <w:szCs w:val="24"/>
        </w:rPr>
        <w:t xml:space="preserve">Summary of Findings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Initial Access: </w:t>
      </w:r>
      <w:r>
        <w:rPr>
          <w:rFonts w:ascii="Calibri" w:cs="Calibri" w:eastAsia="Calibri" w:hAnsi="Calibri"/>
          <w:b w:val="false"/>
          <w:bCs w:val="false"/>
          <w:i w:val="false"/>
          <w:iCs w:val="false"/>
          <w:color w:val="1A1A1A"/>
          <w:sz w:val="22"/>
          <w:szCs w:val="22"/>
        </w:rPr>
        <w:t xml:space="preserve">Adversary-in-the-middle phishing resulting in credential and session-token theft; MFA was bypassed via token replay.</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Persistence Mechanisms: </w:t>
      </w:r>
      <w:r>
        <w:rPr>
          <w:rFonts w:ascii="Calibri" w:cs="Calibri" w:eastAsia="Calibri" w:hAnsi="Calibri"/>
          <w:b w:val="false"/>
          <w:bCs w:val="false"/>
          <w:i w:val="false"/>
          <w:iCs w:val="false"/>
          <w:color w:val="1A1A1A"/>
          <w:sz w:val="22"/>
          <w:szCs w:val="22"/>
        </w:rPr>
        <w:t xml:space="preserve">None. No inbox rules, mail forwarding, delegate grants, OAuth consents, or tenant-level changes were established by the threat actor.</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Duration of Unauthorized Access: </w:t>
      </w:r>
      <w:r>
        <w:rPr>
          <w:rFonts w:ascii="Calibri" w:cs="Calibri" w:eastAsia="Calibri" w:hAnsi="Calibri"/>
          <w:b w:val="false"/>
          <w:bCs w:val="false"/>
          <w:i w:val="false"/>
          <w:iCs w:val="false"/>
          <w:color w:val="1A1A1A"/>
          <w:sz w:val="22"/>
          <w:szCs w:val="22"/>
        </w:rPr>
        <w:t xml:space="preserve">Approximately five minutes of authenticated access on October 30, 2025.</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Financial Impact: </w:t>
      </w:r>
      <w:r>
        <w:rPr>
          <w:rFonts w:ascii="Calibri" w:cs="Calibri" w:eastAsia="Calibri" w:hAnsi="Calibri"/>
          <w:b w:val="false"/>
          <w:bCs w:val="false"/>
          <w:i w:val="false"/>
          <w:iCs w:val="false"/>
          <w:color w:val="1A1A1A"/>
          <w:sz w:val="22"/>
          <w:szCs w:val="22"/>
        </w:rPr>
        <w:t xml:space="preserve">No confirmed or attempted fraudulent transfers were identified.</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Lateral Movement: </w:t>
      </w:r>
      <w:r>
        <w:rPr>
          <w:rFonts w:ascii="Calibri" w:cs="Calibri" w:eastAsia="Calibri" w:hAnsi="Calibri"/>
          <w:b w:val="false"/>
          <w:bCs w:val="false"/>
          <w:i w:val="false"/>
          <w:iCs w:val="false"/>
          <w:color w:val="1A1A1A"/>
          <w:sz w:val="22"/>
          <w:szCs w:val="22"/>
        </w:rPr>
        <w:t xml:space="preserve">None observed. No internal phishing was sent and no other accounts were compromised.</w:t>
      </w:r>
    </w:p>
    <w:p>
      <w:pPr>
        <w:keepNext/>
        <w:spacing w:after="60" w:before="160"/>
      </w:pPr>
      <w:r>
        <w:rPr>
          <w:rFonts w:ascii="Calibri" w:cs="Calibri" w:eastAsia="Calibri" w:hAnsi="Calibri"/>
          <w:b/>
          <w:bCs/>
          <w:color w:val="2F5496"/>
          <w:sz w:val="24"/>
          <w:szCs w:val="24"/>
        </w:rPr>
        <w:t xml:space="preserve">Data Exposure Assessment</w:t>
      </w:r>
    </w:p>
    <w:p>
      <w:pPr>
        <w:spacing w:after="120" w:before="0" w:line="264"/>
      </w:pPr>
      <w:r>
        <w:rPr>
          <w:rFonts w:ascii="Calibri" w:cs="Calibri" w:eastAsia="Calibri" w:hAnsi="Calibri"/>
          <w:b w:val="false"/>
          <w:bCs w:val="false"/>
          <w:i w:val="false"/>
          <w:iCs w:val="false"/>
          <w:color w:val="1A1A1A"/>
          <w:sz w:val="22"/>
          <w:szCs w:val="22"/>
        </w:rPr>
        <w:t xml:space="preserve">Specific access to mailbox contents was not observed, because item-level access logging (MailItemsAccessed) was not available at the tenant’s licensing tier. During the brief authenticated session the threat actor had the ability to view mailbox contents, but no message reads, exports, or outbound sends were evidenced. [Short Name] does not overstate exposure: no data exposure is confirmed by direct evidence.</w:t>
      </w:r>
    </w:p>
    <w:p>
      <w:pPr>
        <w:keepNext/>
        <w:spacing w:after="60" w:before="160"/>
      </w:pPr>
      <w:r>
        <w:rPr>
          <w:rFonts w:ascii="Calibri" w:cs="Calibri" w:eastAsia="Calibri" w:hAnsi="Calibri"/>
          <w:b/>
          <w:bCs/>
          <w:color w:val="2F5496"/>
          <w:sz w:val="24"/>
          <w:szCs w:val="24"/>
        </w:rPr>
        <w:t xml:space="preserve">Remediation</w:t>
      </w:r>
    </w:p>
    <w:p>
      <w:pPr>
        <w:spacing w:after="120" w:before="0" w:line="264"/>
      </w:pPr>
      <w:r>
        <w:rPr>
          <w:rFonts w:ascii="Calibri" w:cs="Calibri" w:eastAsia="Calibri" w:hAnsi="Calibri"/>
          <w:b w:val="false"/>
          <w:bCs w:val="false"/>
          <w:i w:val="false"/>
          <w:iCs w:val="false"/>
          <w:color w:val="1A1A1A"/>
          <w:sz w:val="22"/>
          <w:szCs w:val="22"/>
        </w:rPr>
        <w:t xml:space="preserve">The following actions were directed and have been completed: the affected account was disabled and its sessions and refresh tokens revoked; the user’s password was reset; inbox rules, forwarding, delegates, and OAuth grants were reviewed and confirmed clean; multi-factor authentication was re-enrolled; and the account was re-enabled after re-securing, with legitimate re-authentication confirmed. A separate SMTP brute-force campaign against the tenant was identified and hardening was recommended.</w:t>
      </w:r>
    </w:p>
    <w:p>
      <w:pPr>
        <w:spacing w:after="120" w:before="0" w:line="264"/>
      </w:pPr>
      <w:r>
        <w:rPr>
          <w:rFonts w:ascii="Calibri" w:cs="Calibri" w:eastAsia="Calibri" w:hAnsi="Calibri"/>
          <w:b w:val="false"/>
          <w:bCs w:val="false"/>
          <w:i w:val="false"/>
          <w:iCs w:val="false"/>
          <w:color w:val="1A1A1A"/>
          <w:sz w:val="22"/>
          <w:szCs w:val="22"/>
        </w:rPr>
        <w:t xml:space="preserve">Additional posture recommendations, including phishing-resistant MFA and legacy-authentication hardening, are detailed in the referenced investigation report.</w:t>
      </w:r>
    </w:p>
    <w:p>
      <w:pPr>
        <w:keepNext/>
        <w:spacing w:after="60" w:before="160"/>
      </w:pPr>
      <w:r>
        <w:rPr>
          <w:rFonts w:ascii="Calibri" w:cs="Calibri" w:eastAsia="Calibri" w:hAnsi="Calibri"/>
          <w:b/>
          <w:bCs/>
          <w:color w:val="2F5496"/>
          <w:sz w:val="24"/>
          <w:szCs w:val="24"/>
        </w:rPr>
        <w:t xml:space="preserve">Attestation</w:t>
      </w:r>
    </w:p>
    <w:p>
      <w:pPr>
        <w:spacing w:after="120" w:before="0" w:line="264"/>
      </w:pPr>
      <w:r>
        <w:rPr>
          <w:rFonts w:ascii="Calibri" w:cs="Calibri" w:eastAsia="Calibri" w:hAnsi="Calibri"/>
          <w:b w:val="false"/>
          <w:bCs w:val="false"/>
          <w:i w:val="false"/>
          <w:iCs w:val="false"/>
          <w:color w:val="1A1A1A"/>
          <w:sz w:val="22"/>
          <w:szCs w:val="22"/>
        </w:rPr>
        <w:t xml:space="preserve">[Your Organization] attests that the statements above accurately reflect the findings of its investigation as of the date of this letter, based on the evidence reviewed and the methodology applied. This attestation is limited to the scope described and to the evidence available during the engagement. It is not legal advice and does not constitute a legal opinion.</w:t>
      </w:r>
    </w:p>
    <w:p>
      <w:pPr>
        <w:keepNext/>
        <w:spacing w:after="60" w:before="160"/>
      </w:pPr>
      <w:r>
        <w:rPr>
          <w:rFonts w:ascii="Calibri" w:cs="Calibri" w:eastAsia="Calibri" w:hAnsi="Calibri"/>
          <w:b/>
          <w:bCs/>
          <w:color w:val="2F5496"/>
          <w:sz w:val="24"/>
          <w:szCs w:val="24"/>
        </w:rPr>
        <w:t xml:space="preserve">Referenced Documents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Incident Investigation Report, ACME, ltd., version 1.0, dated October 31, 2025 (Ref BEC-2025-1030).</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Engagement Letter / Statement of Work [reference and date].</w:t>
      </w:r>
    </w:p>
    <w:p>
      <w:pPr>
        <w:keepNext/>
        <w:spacing w:after="60" w:before="160"/>
      </w:pPr>
      <w:r>
        <w:rPr>
          <w:rFonts w:ascii="Calibri" w:cs="Calibri" w:eastAsia="Calibri" w:hAnsi="Calibri"/>
          <w:b/>
          <w:bCs/>
          <w:color w:val="2F5496"/>
          <w:sz w:val="24"/>
          <w:szCs w:val="24"/>
        </w:rPr>
        <w:t xml:space="preserve">Contact</w:t>
      </w:r>
    </w:p>
    <w:p>
      <w:pPr>
        <w:spacing w:after="120" w:before="0" w:line="264"/>
      </w:pPr>
      <w:r>
        <w:rPr>
          <w:rFonts w:ascii="Calibri" w:cs="Calibri" w:eastAsia="Calibri" w:hAnsi="Calibri"/>
          <w:b w:val="false"/>
          <w:bCs w:val="false"/>
          <w:i w:val="false"/>
          <w:iCs w:val="false"/>
          <w:color w:val="1A1A1A"/>
          <w:sz w:val="22"/>
          <w:szCs w:val="22"/>
        </w:rPr>
        <w:t xml:space="preserve">Questions regarding this attestation may be directed to the undersigned. ACME, ltd. has authorized the named recipient to contact [Your Organization] on matters within the scope described above.</w:t>
      </w:r>
    </w:p>
    <w:p>
      <w:pPr>
        <w:spacing w:after="320" w:before="200" w:line="264"/>
      </w:pPr>
      <w:r>
        <w:rPr>
          <w:rFonts w:ascii="Calibri" w:cs="Calibri" w:eastAsia="Calibri" w:hAnsi="Calibri"/>
          <w:b w:val="false"/>
          <w:bCs w:val="false"/>
          <w:i w:val="false"/>
          <w:iCs w:val="false"/>
          <w:color w:val="1A1A1A"/>
          <w:sz w:val="22"/>
          <w:szCs w:val="22"/>
        </w:rPr>
        <w:t xml:space="preserve">Sincerely,</w:t>
      </w:r>
    </w:p>
    <w:p>
      <w:pPr>
        <w:spacing w:after="0" w:before="0" w:line="264"/>
      </w:pPr>
      <w:r>
        <w:rPr>
          <w:rFonts w:ascii="Calibri" w:cs="Calibri" w:eastAsia="Calibri" w:hAnsi="Calibri"/>
          <w:b/>
          <w:bCs/>
          <w:i w:val="false"/>
          <w:iCs w:val="false"/>
          <w:color w:val="1A1A1A"/>
          <w:sz w:val="22"/>
          <w:szCs w:val="22"/>
        </w:rPr>
        <w:t xml:space="preserve">[Signer Full Name]</w:t>
      </w:r>
    </w:p>
    <w:p>
      <w:pPr>
        <w:spacing w:after="0" w:before="0" w:line="264"/>
      </w:pPr>
      <w:r>
        <w:rPr>
          <w:rFonts w:ascii="Calibri" w:cs="Calibri" w:eastAsia="Calibri" w:hAnsi="Calibri"/>
          <w:b w:val="false"/>
          <w:bCs w:val="false"/>
          <w:i w:val="false"/>
          <w:iCs w:val="false"/>
          <w:color w:val="1A1A1A"/>
          <w:sz w:val="22"/>
          <w:szCs w:val="22"/>
        </w:rPr>
        <w:t xml:space="preserve">[Title], [Certifications]</w:t>
      </w:r>
    </w:p>
    <w:p>
      <w:pPr>
        <w:spacing w:after="0" w:before="0" w:line="264"/>
      </w:pPr>
      <w:r>
        <w:rPr>
          <w:rFonts w:ascii="Calibri" w:cs="Calibri" w:eastAsia="Calibri" w:hAnsi="Calibri"/>
          <w:b w:val="false"/>
          <w:bCs w:val="false"/>
          <w:i w:val="false"/>
          <w:iCs w:val="false"/>
          <w:color w:val="1A1A1A"/>
          <w:sz w:val="22"/>
          <w:szCs w:val="22"/>
        </w:rPr>
        <w:t xml:space="preserve">[Your Organization]</w:t>
      </w:r>
    </w:p>
    <w:p>
      <w:pPr>
        <w:spacing w:after="160" w:before="0" w:line="264"/>
      </w:pPr>
      <w:r>
        <w:rPr>
          <w:rFonts w:ascii="Calibri" w:cs="Calibri" w:eastAsia="Calibri" w:hAnsi="Calibri"/>
          <w:b w:val="false"/>
          <w:bCs w:val="false"/>
          <w:i w:val="false"/>
          <w:iCs w:val="false"/>
          <w:color w:val="1A1A1A"/>
          <w:sz w:val="22"/>
          <w:szCs w:val="22"/>
        </w:rPr>
        <w:t xml:space="preserve">[Direct Email] · [Direct Phone]</w:t>
      </w:r>
    </w:p>
    <w:p>
      <w:pPr>
        <w:spacing w:after="120" w:before="0" w:line="264"/>
      </w:pPr>
      <w:r>
        <w:rPr>
          <w:rFonts w:ascii="Calibri" w:cs="Calibri" w:eastAsia="Calibri" w:hAnsi="Calibri"/>
          <w:b w:val="false"/>
          <w:bCs w:val="false"/>
          <w:i/>
          <w:iCs/>
          <w:color w:val="666666"/>
          <w:sz w:val="20"/>
          <w:szCs w:val="20"/>
        </w:rPr>
        <w:t xml:space="preserve">This letter states facts about the investigation described above. It is not legal advice and is not a legal opinion on breach-notification obligations, which are the responsibility of the client and its counsel. Distribution is limited to the recipient named above and parties the client has authorized.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Attestation · BEC-2025-1030</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ltd. Attestation Letter</dc:title>
  <dc:creator>[Your Organization]</dc:creator>
  <cp:lastModifiedBy>Un-named</cp:lastModifiedBy>
  <cp:revision>1</cp:revision>
  <dcterms:created xsi:type="dcterms:W3CDTF">2026-07-31T07:35:16.043Z</dcterms:created>
  <dcterms:modified xsi:type="dcterms:W3CDTF">2026-07-31T07:35:16.043Z</dcterms:modified>
</cp:coreProperties>
</file>

<file path=docProps/custom.xml><?xml version="1.0" encoding="utf-8"?>
<Properties xmlns="http://schemas.openxmlformats.org/officeDocument/2006/custom-properties" xmlns:vt="http://schemas.openxmlformats.org/officeDocument/2006/docPropsVTypes"/>
</file>