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Calibri" w:cs="Calibri" w:eastAsia="Calibri" w:hAnsi="Calibri"/>
          <w:color w:val="666666"/>
          <w:sz w:val="20"/>
          <w:szCs w:val="20"/>
        </w:rPr>
        <w:t xml:space="preserve">[LOGO]</w:t>
      </w:r>
    </w:p>
    <w:p>
      <w:pPr>
        <w:spacing w:after="80"/>
        <w:jc w:val="center"/>
      </w:pPr>
      <w:r>
        <w:rPr>
          <w:rFonts w:ascii="Calibri" w:cs="Calibri" w:eastAsia="Calibri" w:hAnsi="Calibri"/>
          <w:b/>
          <w:bCs/>
          <w:color w:val="666666"/>
          <w:sz w:val="22"/>
          <w:szCs w:val="22"/>
        </w:rPr>
        <w:t xml:space="preserve">BUSINESS EMAIL COMPROMISE</w:t>
      </w:r>
    </w:p>
    <w:p>
      <w:pPr>
        <w:spacing w:after="300"/>
        <w:jc w:val="center"/>
      </w:pPr>
      <w:r>
        <w:rPr>
          <w:rFonts w:ascii="Calibri" w:cs="Calibri" w:eastAsia="Calibri" w:hAnsi="Calibri"/>
          <w:b/>
          <w:bCs/>
          <w:color w:val="2F5496"/>
          <w:sz w:val="46"/>
          <w:szCs w:val="46"/>
        </w:rPr>
        <w:t xml:space="preserve">Incident Investigation Report</w:t>
      </w:r>
    </w:p>
    <w:p>
      <w:pPr>
        <w:spacing w:after="60"/>
        <w:jc w:val="center"/>
      </w:pPr>
      <w:r>
        <w:rPr>
          <w:rFonts w:ascii="Calibri" w:cs="Calibri" w:eastAsia="Calibri" w:hAnsi="Calibri"/>
          <w:b/>
          <w:bCs/>
          <w:color w:val="1A1A1A"/>
          <w:sz w:val="32"/>
          <w:szCs w:val="32"/>
        </w:rPr>
        <w:t xml:space="preserve">ACME, ltd.</w:t>
      </w:r>
    </w:p>
    <w:p>
      <w:pPr>
        <w:spacing w:after="40"/>
        <w:jc w:val="center"/>
      </w:pPr>
      <w:r>
        <w:rPr>
          <w:rFonts w:ascii="Calibri" w:cs="Calibri" w:eastAsia="Calibri" w:hAnsi="Calibri"/>
          <w:color w:val="666666"/>
          <w:sz w:val="22"/>
          <w:szCs w:val="22"/>
        </w:rPr>
        <w:t xml:space="preserve">Primary M365 Domain: acme.com</w:t>
      </w:r>
    </w:p>
    <w:p>
      <w:pPr>
        <w:spacing w:after="40"/>
        <w:jc w:val="center"/>
      </w:pPr>
      <w:r>
        <w:rPr>
          <w:rFonts w:ascii="Calibri" w:cs="Calibri" w:eastAsia="Calibri" w:hAnsi="Calibri"/>
          <w:color w:val="666666"/>
          <w:sz w:val="22"/>
          <w:szCs w:val="22"/>
        </w:rPr>
        <w:t xml:space="preserve">Report Date: October 31, 2025   |   Version 1.0</w:t>
      </w:r>
    </w:p>
    <w:p>
      <w:pPr>
        <w:spacing w:after="40"/>
        <w:jc w:val="center"/>
      </w:pPr>
      <w:r>
        <w:rPr>
          <w:rFonts w:ascii="Calibri" w:cs="Calibri" w:eastAsia="Calibri" w:hAnsi="Calibri"/>
          <w:color w:val="666666"/>
          <w:sz w:val="22"/>
          <w:szCs w:val="22"/>
        </w:rPr>
        <w:t xml:space="preserve">Incident Reference: BEC-2025-1030</w:t>
      </w:r>
    </w:p>
    <w:p>
      <w:pPr>
        <w:spacing w:before="400"/>
        <w:jc w:val="center"/>
      </w:pPr>
      <w:r>
        <w:rPr>
          <w:rFonts w:ascii="Calibri" w:cs="Calibri" w:eastAsia="Calibri" w:hAnsi="Calibri"/>
          <w:b/>
          <w:bCs/>
          <w:color w:val="666666"/>
          <w:sz w:val="20"/>
          <w:szCs w:val="20"/>
        </w:rPr>
        <w:t xml:space="preserve">CONFIDENTIAL</w:t>
      </w:r>
    </w:p>
    <w:p>
      <w:r>
        <w:br w:type="page"/>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Report Metadata</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880"/>
      </w:tblGrid>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Client / Organization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ACME, ltd.</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Primary M365 Domain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acme.com</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Prepared By</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 Your Organization]</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Date</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31, 2025</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Version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Classification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CONFIDENTIAL</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Reference ID</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BEC-2025-1030</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Distribution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[Named recipients only]</w:t>
            </w:r>
          </w:p>
        </w:tc>
      </w:tr>
    </w:tbl>
    <w:p>
      <w:pPr>
        <w:spacing w:after="120" w:before="80" w:line="264"/>
      </w:pPr>
      <w:r>
        <w:rPr>
          <w:rFonts w:ascii="Calibri" w:cs="Calibri" w:eastAsia="Calibri" w:hAnsi="Calibri"/>
          <w:b w:val="false"/>
          <w:bCs w:val="false"/>
          <w:i/>
          <w:iCs/>
          <w:color w:val="666666"/>
          <w:sz w:val="20"/>
          <w:szCs w:val="20"/>
        </w:rPr>
        <w:t xml:space="preserve">This report contains sensitive information. Handle according to the classification above. Do not distribute beyond the named recipients without authorization.</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 Executive Summary</w:t>
      </w:r>
    </w:p>
    <w:p>
      <w:pPr>
        <w:pStyle w:val="Heading2"/>
        <w:keepNext/>
        <w:spacing w:after="80" w:before="180"/>
      </w:pPr>
      <w:r>
        <w:rPr>
          <w:rFonts w:ascii="Calibri" w:cs="Calibri" w:eastAsia="Calibri" w:hAnsi="Calibri"/>
          <w:b/>
          <w:bCs/>
          <w:color w:val="2F5496"/>
          <w:sz w:val="24"/>
          <w:szCs w:val="24"/>
        </w:rPr>
        <w:t xml:space="preserve">1.1 Summary of Incident</w:t>
      </w:r>
    </w:p>
    <w:p>
      <w:pPr>
        <w:spacing w:after="120" w:before="0" w:line="264"/>
      </w:pPr>
      <w:r>
        <w:rPr>
          <w:rFonts w:ascii="Calibri" w:cs="Calibri" w:eastAsia="Calibri" w:hAnsi="Calibri"/>
          <w:b w:val="false"/>
          <w:bCs w:val="false"/>
          <w:i w:val="false"/>
          <w:iCs w:val="false"/>
          <w:color w:val="1A1A1A"/>
          <w:sz w:val="22"/>
          <w:szCs w:val="22"/>
        </w:rPr>
        <w:t xml:space="preserve">Between approximately 23:17 UTC and 23:23 UTC on October 30, 2025, an unauthorized third party gained access to one Microsoft 365 mailbox at ACME, ltd., belonging to “victoria1.heather3@acme.com.” Initial access was consistent with an adversary-in-the-middle (AiTM) phishing kit that harvested the user’s credentials and a valid session token. The threat actor authenticated to Microsoft 365 from an IPv6 address geolocating to Garrison 2, West Province 4, Nigeria (2c0f:2a80:14:7ea2:7c04:99ad:8833:1a1) and from three IPv6 addresses belonging to M247 Europe SRL, a hosting and VPN provider commonly associated with anonymization infrastructure.</w:t>
      </w:r>
    </w:p>
    <w:p>
      <w:pPr>
        <w:spacing w:after="120" w:before="0" w:line="264"/>
      </w:pPr>
      <w:r>
        <w:rPr>
          <w:rFonts w:ascii="Calibri" w:cs="Calibri" w:eastAsia="Calibri" w:hAnsi="Calibri"/>
          <w:b w:val="false"/>
          <w:bCs w:val="false"/>
          <w:i w:val="false"/>
          <w:iCs w:val="false"/>
          <w:color w:val="1A1A1A"/>
          <w:sz w:val="22"/>
          <w:szCs w:val="22"/>
        </w:rPr>
        <w:t xml:space="preserve">The threat actor’s access was detected as unusual sign-in activity and the account was disabled at approximately 23:22 UTC, limiting the authenticated session to roughly five minutes. No persistence mechanisms were established, no mailbox data actions were evidenced, and no outbound mail was sent from the account. A separate, ongoing high-volume SMTP brute-force campaign against the tenant was identified during the review and is documented in Sections 6 and 7.</w:t>
      </w:r>
    </w:p>
    <w:p>
      <w:pPr>
        <w:spacing w:after="120" w:before="0" w:line="264"/>
      </w:pPr>
      <w:r>
        <w:rPr>
          <w:rFonts w:ascii="Calibri" w:cs="Calibri" w:eastAsia="Calibri" w:hAnsi="Calibri"/>
          <w:b w:val="false"/>
          <w:bCs w:val="false"/>
          <w:i w:val="false"/>
          <w:iCs w:val="false"/>
          <w:color w:val="1A1A1A"/>
          <w:sz w:val="22"/>
          <w:szCs w:val="22"/>
        </w:rPr>
        <w:t xml:space="preserve">The strongest technical indicator of token theft was the reuse of a single Entra ID session identifier (8b638296-945d) across sign-ins from both the Nigerian IPv6 address and an M247 IPv6 address within the same minute, together with repeated “Keep me signed in” interrupt events. This pattern is characteristic of automated token replay following an AiTM credential-and-token harvest rather than independent password guessing.</w:t>
      </w:r>
    </w:p>
    <w:p>
      <w:pPr>
        <w:pStyle w:val="Heading2"/>
        <w:keepNext/>
        <w:spacing w:after="80" w:before="180"/>
      </w:pPr>
      <w:r>
        <w:rPr>
          <w:rFonts w:ascii="Calibri" w:cs="Calibri" w:eastAsia="Calibri" w:hAnsi="Calibri"/>
          <w:b/>
          <w:bCs/>
          <w:color w:val="2F5496"/>
          <w:sz w:val="24"/>
          <w:szCs w:val="24"/>
        </w:rPr>
        <w:t xml:space="preserve">1.2 Current Status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Status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Contained and Eradicated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Affected Accounts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 (victoria1.heather3@acme.com)</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Financial Loss (known)</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Data Exposure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evidenced (no MailItemsAccessed events at tenant licensing tier)</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Regulatory Notification</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 as required by the investigator; final determination is counsel’s.</w:t>
            </w:r>
          </w:p>
        </w:tc>
      </w:tr>
    </w:tbl>
    <w:p>
      <w:pPr>
        <w:pStyle w:val="Heading2"/>
        <w:keepNext/>
        <w:spacing w:after="80" w:before="180"/>
      </w:pPr>
      <w:r>
        <w:rPr>
          <w:rFonts w:ascii="Calibri" w:cs="Calibri" w:eastAsia="Calibri" w:hAnsi="Calibri"/>
          <w:b/>
          <w:bCs/>
          <w:color w:val="2F5496"/>
          <w:sz w:val="24"/>
          <w:szCs w:val="24"/>
        </w:rPr>
        <w:t xml:space="preserve">1.3 Key Findings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 single mailbox was accessed for approximately five minutes via AiTM-style token theft; the reuse of session ID 8b638296-945d across two geographically distinct IPs confirms token replay rather than credential guessing.</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threat actor established no persistence: no inbox rules, no mail forwarding, no delegate grants, no OAuth application consents, and no tenant-level configuration changes were identified.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outbound phishing, spam, or fraudulent mail was sent from the account, and no evidence of mailbox export or SharePoint/OneDrive access by the threat actor was found.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 separate, ongoing SMTP authentication brute-force campaign generated 10,967 failed attempts against at least 10 accounts from 91 unique source IP addresses; none succeeded, but the legacy SMTP AUTH surface remains an active tenant risk.</w:t>
      </w:r>
    </w:p>
    <w:p>
      <w:pPr>
        <w:pStyle w:val="Heading2"/>
        <w:keepNext/>
        <w:spacing w:after="80" w:before="180"/>
      </w:pPr>
      <w:r>
        <w:rPr>
          <w:rFonts w:ascii="Calibri" w:cs="Calibri" w:eastAsia="Calibri" w:hAnsi="Calibri"/>
          <w:b/>
          <w:bCs/>
          <w:color w:val="2F5496"/>
          <w:sz w:val="24"/>
          <w:szCs w:val="24"/>
        </w:rPr>
        <w:t xml:space="preserve">1.4 Priority Recommendations</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Enforce phishing-resistant MFA (FIDO2 or certificate-based) tenant-wide to defeat AiTM token theft, which bypasses traditional MFA.</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Disable legacy authentication, specifically SMTP AUTH, tenant-wide via authentication policy or Conditional Access to eliminate the active brute-force attack surface.</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Deploy Conditional Access to block or challenge sign-ins from anonymizing/hosting infrastructure and from geographies outside normal operations.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2. Incident Overview</w:t>
      </w:r>
    </w:p>
    <w:p>
      <w:pPr>
        <w:pStyle w:val="Heading2"/>
        <w:keepNext/>
        <w:spacing w:after="80" w:before="180"/>
      </w:pPr>
      <w:r>
        <w:rPr>
          <w:rFonts w:ascii="Calibri" w:cs="Calibri" w:eastAsia="Calibri" w:hAnsi="Calibri"/>
          <w:b/>
          <w:bCs/>
          <w:color w:val="2F5496"/>
          <w:sz w:val="24"/>
          <w:szCs w:val="24"/>
        </w:rPr>
        <w:t xml:space="preserve">2.1 Incident Details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Category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Business Email Compromise (BEC)</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Sub-category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AiTM / session token theft</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Initial Detection Date + Source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30, 2025, ~23:22 UTC; unusual sign-in activity report</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Estimated Initial Compromise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30, 2025, ~23:17 UTC</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Containment Date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30, 2025, ~23:22 UTC (account disabled)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Eradication Completed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31, 2025 (password reset, token revocation, MFA re-enrollment)</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Duration (dwell time)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~5 minutes of authenticated access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Tenant Licensing Tier</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Microsoft 365 (MailItemsAccessed not available for this mailbox)</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Unified Audit Log Enabled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Mailbox Auditing Enabled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Default; item-level access logging not available at tier</w:t>
            </w:r>
          </w:p>
        </w:tc>
      </w:tr>
    </w:tbl>
    <w:p>
      <w:pPr>
        <w:pStyle w:val="Heading2"/>
        <w:keepNext/>
        <w:spacing w:after="80" w:before="180"/>
      </w:pPr>
      <w:r>
        <w:rPr>
          <w:rFonts w:ascii="Calibri" w:cs="Calibri" w:eastAsia="Calibri" w:hAnsi="Calibri"/>
          <w:b/>
          <w:bCs/>
          <w:color w:val="2F5496"/>
          <w:sz w:val="24"/>
          <w:szCs w:val="24"/>
        </w:rPr>
        <w:t xml:space="preserve">2.2 Investigation Engagement</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Requested By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contact, ACME, ltd.]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Engagement Started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30, 2025</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Investigator(s)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 Certifications], [Your Organization]</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Investigation Completed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31, 2025</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Scope of Engagement</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Investigate reported unusual sign-in activity on victoria1.heather3@acme.com; scope compromise, persistence, and data exposure across the tenant.</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Constraints / Limitations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MailItemsAccessed item-level logging not available at licensing tier; sign-in/audit retention limits apply.</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3. Scope and Impact</w:t>
      </w:r>
    </w:p>
    <w:p>
      <w:pPr>
        <w:pStyle w:val="Heading2"/>
        <w:keepNext/>
        <w:spacing w:after="80" w:before="180"/>
      </w:pPr>
      <w:r>
        <w:rPr>
          <w:rFonts w:ascii="Calibri" w:cs="Calibri" w:eastAsia="Calibri" w:hAnsi="Calibri"/>
          <w:b/>
          <w:bCs/>
          <w:color w:val="2F5496"/>
          <w:sz w:val="24"/>
          <w:szCs w:val="24"/>
        </w:rPr>
        <w:t xml:space="preserve">3.1 Affected User Accounts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1700"/>
        <w:gridCol w:w="1700"/>
        <w:gridCol w:w="3480"/>
      </w:tblGrid>
      <w:tr>
        <w:trPr>
          <w:tblHeader/>
        </w:trPr>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User (UPN)</w:t>
            </w:r>
          </w:p>
        </w:tc>
        <w:tc>
          <w:tcPr>
            <w:tcW w:type="dxa" w:w="1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Role</w:t>
            </w:r>
          </w:p>
        </w:tc>
        <w:tc>
          <w:tcPr>
            <w:tcW w:type="dxa" w:w="1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Compromise Type</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Impact Summary</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victoria1.heather3@acme.com</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Standard user</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Confirmed</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AiTM token theft; ~5 min access; no persistence or data action evidenced.</w:t>
            </w:r>
          </w:p>
        </w:tc>
      </w:tr>
    </w:tbl>
    <w:p>
      <w:pPr>
        <w:pStyle w:val="Heading2"/>
        <w:keepNext/>
        <w:spacing w:after="80" w:before="180"/>
      </w:pPr>
      <w:r>
        <w:rPr>
          <w:rFonts w:ascii="Calibri" w:cs="Calibri" w:eastAsia="Calibri" w:hAnsi="Calibri"/>
          <w:b/>
          <w:bCs/>
          <w:color w:val="2F5496"/>
          <w:sz w:val="24"/>
          <w:szCs w:val="24"/>
        </w:rPr>
        <w:t xml:space="preserve">3.2 Financial Impact</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5880"/>
      </w:tblGrid>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Confirmed Fraudulent Transfers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Attempted Fraudulent Transfers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Funds Recovered</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applicable</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Funds Pending Recovery</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applicable</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Business Disruption Cost (est.)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Minimal; single account briefly disabled</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Response &amp; Remediation Cost (est.)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[To be completed by client]</w:t>
            </w:r>
          </w:p>
        </w:tc>
      </w:tr>
    </w:tbl>
    <w:p>
      <w:pPr>
        <w:pStyle w:val="Heading2"/>
        <w:keepNext/>
        <w:spacing w:after="80" w:before="180"/>
      </w:pPr>
      <w:r>
        <w:rPr>
          <w:rFonts w:ascii="Calibri" w:cs="Calibri" w:eastAsia="Calibri" w:hAnsi="Calibri"/>
          <w:b/>
          <w:bCs/>
          <w:color w:val="2F5496"/>
          <w:sz w:val="24"/>
          <w:szCs w:val="24"/>
        </w:rPr>
        <w:t xml:space="preserve">3.3 Data Exposure</w:t>
      </w:r>
    </w:p>
    <w:p>
      <w:pPr>
        <w:spacing w:after="120" w:before="0" w:line="264"/>
      </w:pPr>
      <w:r>
        <w:rPr>
          <w:rFonts w:ascii="Calibri" w:cs="Calibri" w:eastAsia="Calibri" w:hAnsi="Calibri"/>
          <w:b w:val="false"/>
          <w:bCs w:val="false"/>
          <w:i w:val="false"/>
          <w:iCs w:val="false"/>
          <w:color w:val="1A1A1A"/>
          <w:sz w:val="22"/>
          <w:szCs w:val="22"/>
        </w:rPr>
        <w:t xml:space="preserve">At this mailbox’s licensing tier, MailItemsAccessed item-level audit events were not available, so specific messages read by the threat actor cannot be enumerated from the logs. The authenticated session was limited to roughly five minutes and was scoped to OfficeHome and One Outlook Web. No mailbox export, no outbound send, and no SharePoint/OneDrive access by the threat actor were evidenced. Detail is provided in Section 8.</w:t>
      </w:r>
    </w:p>
    <w:p>
      <w:pPr>
        <w:pStyle w:val="Heading2"/>
        <w:keepNext/>
        <w:spacing w:after="80" w:before="180"/>
      </w:pPr>
      <w:r>
        <w:rPr>
          <w:rFonts w:ascii="Calibri" w:cs="Calibri" w:eastAsia="Calibri" w:hAnsi="Calibri"/>
          <w:b/>
          <w:bCs/>
          <w:color w:val="2F5496"/>
          <w:sz w:val="24"/>
          <w:szCs w:val="24"/>
        </w:rPr>
        <w:t xml:space="preserve">3.4 Regulatory and Contractual Notification Exposure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2600"/>
        <w:gridCol w:w="4480"/>
      </w:tblGrid>
      <w:tr>
        <w:trPr>
          <w:tblHeader/>
        </w:trPr>
        <w:tc>
          <w:tcPr>
            <w:tcW w:type="dxa" w:w="3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Framework</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Preliminary Applicability</w:t>
            </w:r>
          </w:p>
        </w:tc>
        <w:tc>
          <w:tcPr>
            <w:tcW w:type="dxa" w:w="4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State Data Breach Laws</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 confirmed access to specific regulated records; brief access window.</w:t>
            </w:r>
          </w:p>
        </w:tc>
      </w:tr>
      <w:tr>
        <w:tc>
          <w:tcPr>
            <w:tcW w:type="dxa" w:w="3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HIPAA</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w:t>
            </w:r>
          </w:p>
        </w:tc>
        <w:tc>
          <w:tcPr>
            <w:tcW w:type="dxa" w:w="4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 indication the mailbox contained PHI in scope.</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Cyber Insurance</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should review notification terms with its carrier.</w:t>
            </w:r>
          </w:p>
        </w:tc>
      </w:tr>
      <w:tr>
        <w:tc>
          <w:tcPr>
            <w:tcW w:type="dxa" w:w="3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Contractual</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to assess counterparty notification obligations.</w:t>
            </w:r>
          </w:p>
        </w:tc>
      </w:tr>
    </w:tbl>
    <w:p>
      <w:pPr>
        <w:spacing w:after="120" w:before="60" w:line="264"/>
      </w:pPr>
      <w:r>
        <w:rPr>
          <w:rFonts w:ascii="Calibri" w:cs="Calibri" w:eastAsia="Calibri" w:hAnsi="Calibri"/>
          <w:b w:val="false"/>
          <w:bCs w:val="false"/>
          <w:i/>
          <w:iCs/>
          <w:color w:val="666666"/>
          <w:sz w:val="20"/>
          <w:szCs w:val="20"/>
        </w:rPr>
        <w:t xml:space="preserve">Final legal determinations regarding notification obligations are the responsibility of the client and its counsel, not the investigator.</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4. Investigation Methodology</w:t>
      </w:r>
    </w:p>
    <w:p>
      <w:pPr>
        <w:pStyle w:val="Heading2"/>
        <w:keepNext/>
        <w:spacing w:after="80" w:before="180"/>
      </w:pPr>
      <w:r>
        <w:rPr>
          <w:rFonts w:ascii="Calibri" w:cs="Calibri" w:eastAsia="Calibri" w:hAnsi="Calibri"/>
          <w:b/>
          <w:bCs/>
          <w:color w:val="2F5496"/>
          <w:sz w:val="24"/>
          <w:szCs w:val="24"/>
        </w:rPr>
        <w:t xml:space="preserve">4.1 Investigation Approach</w:t>
      </w:r>
    </w:p>
    <w:p>
      <w:pPr>
        <w:spacing w:after="120" w:before="0" w:line="264"/>
      </w:pPr>
      <w:r>
        <w:rPr>
          <w:rFonts w:ascii="Calibri" w:cs="Calibri" w:eastAsia="Calibri" w:hAnsi="Calibri"/>
          <w:b w:val="false"/>
          <w:bCs w:val="false"/>
          <w:i w:val="false"/>
          <w:iCs w:val="false"/>
          <w:color w:val="1A1A1A"/>
          <w:sz w:val="22"/>
          <w:szCs w:val="22"/>
        </w:rPr>
        <w:t xml:space="preserve">The investigation followed a Microsoft 365 business email compromise playbook, beginning from the reported account and expanding scope iteratively based on evidence. Sign-in telemetry was enriched with IP geolocation, ASN/ISP, and fraud-reputation data, and threat-actor sessions were separated from the user’s baseline by IP, session identifier, and client characteristics.</w:t>
      </w:r>
    </w:p>
    <w:p>
      <w:pPr>
        <w:spacing w:after="120" w:before="0" w:line="264"/>
      </w:pPr>
      <w:r>
        <w:rPr>
          <w:rFonts w:ascii="Calibri" w:cs="Calibri" w:eastAsia="Calibri" w:hAnsi="Calibri"/>
          <w:b w:val="false"/>
          <w:bCs w:val="false"/>
          <w:i w:val="false"/>
          <w:iCs w:val="false"/>
          <w:color w:val="1A1A1A"/>
          <w:sz w:val="22"/>
          <w:szCs w:val="22"/>
        </w:rPr>
        <w:t xml:space="preserve">Findings were validated by correlating interactive sign-in records with Entra ID audit entries for the administrative remediation actions, and by reviewing inbox-rule, forwarding, and transport-rule configuration state to confirm the absence of persistence.</w:t>
      </w:r>
    </w:p>
    <w:p>
      <w:pPr>
        <w:pStyle w:val="Heading2"/>
        <w:keepNext/>
        <w:spacing w:after="80" w:before="180"/>
      </w:pPr>
      <w:r>
        <w:rPr>
          <w:rFonts w:ascii="Calibri" w:cs="Calibri" w:eastAsia="Calibri" w:hAnsi="Calibri"/>
          <w:b/>
          <w:bCs/>
          <w:color w:val="2F5496"/>
          <w:sz w:val="24"/>
          <w:szCs w:val="24"/>
        </w:rPr>
        <w:t xml:space="preserve">4.2 Evidence Sources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2400"/>
        <w:gridCol w:w="3480"/>
      </w:tblGrid>
      <w:tr>
        <w:trPr>
          <w:tblHeader/>
        </w:trPr>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Source</w:t>
            </w:r>
          </w:p>
        </w:tc>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Retention Period</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Collected (range)</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Interactive Sign-In Logs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 24 – Nov 1, 2025 (13,294 tenant events)</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Logs</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 21 – Nov 1, 2025</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 Set-Mailbox Changes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 21 – Nov 1, 2025</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Transport Rule Configuration</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Point-in-time</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Collected Oct 30, 2025</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Tenant / Org Configuration State</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Point-in-time</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Collected Oct 30, 2025</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MailItemsAccessed Events</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available at tier</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collected</w:t>
            </w:r>
          </w:p>
        </w:tc>
      </w:tr>
    </w:tbl>
    <w:p>
      <w:pPr>
        <w:pStyle w:val="Heading2"/>
        <w:keepNext/>
        <w:spacing w:after="80" w:before="180"/>
      </w:pPr>
      <w:r>
        <w:rPr>
          <w:rFonts w:ascii="Calibri" w:cs="Calibri" w:eastAsia="Calibri" w:hAnsi="Calibri"/>
          <w:b/>
          <w:bCs/>
          <w:color w:val="2F5496"/>
          <w:sz w:val="24"/>
          <w:szCs w:val="24"/>
        </w:rPr>
        <w:t xml:space="preserve">4.3 Tools and Scripts Used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M365IRScripts collection (https://github.com/bitpusher2k/M365IRScripts).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Microsoft Graph PowerShell SDK.</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Exchange Online PowerShell module.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Microsoft Defender and Purview portals (compliance search and purge).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IP reputation and enrichment services (GeoLite2, ipapi.is, Scamalytics, findip.net).</w:t>
      </w:r>
    </w:p>
    <w:p>
      <w:pPr>
        <w:pStyle w:val="Heading2"/>
        <w:keepNext/>
        <w:spacing w:after="80" w:before="180"/>
      </w:pPr>
      <w:r>
        <w:rPr>
          <w:rFonts w:ascii="Calibri" w:cs="Calibri" w:eastAsia="Calibri" w:hAnsi="Calibri"/>
          <w:b/>
          <w:bCs/>
          <w:color w:val="2F5496"/>
          <w:sz w:val="24"/>
          <w:szCs w:val="24"/>
        </w:rPr>
        <w:t xml:space="preserve">4.4 Chain of Custody and Evidence Handling</w:t>
      </w:r>
    </w:p>
    <w:p>
      <w:pPr>
        <w:spacing w:after="120" w:before="0" w:line="264"/>
      </w:pPr>
      <w:r>
        <w:rPr>
          <w:rFonts w:ascii="Calibri" w:cs="Calibri" w:eastAsia="Calibri" w:hAnsi="Calibri"/>
          <w:b w:val="false"/>
          <w:bCs w:val="false"/>
          <w:i w:val="false"/>
          <w:iCs w:val="false"/>
          <w:color w:val="1A1A1A"/>
          <w:sz w:val="22"/>
          <w:szCs w:val="22"/>
        </w:rPr>
        <w:t xml:space="preserve">Collected artifacts (CSV/JSON/TXT log exports and processed, IP-enriched workbooks) were retained in a restricted-access case folder limited to assigned investigators. Exports were preserved in their original form alongside processed copies, and file integrity was maintained through controlled, read-only handling of the source exports. Artifacts are retained per the engagement's retention terms.</w:t>
      </w:r>
    </w:p>
    <w:p>
      <w:pPr>
        <w:pStyle w:val="Heading2"/>
        <w:keepNext/>
        <w:spacing w:after="80" w:before="180"/>
      </w:pPr>
      <w:r>
        <w:rPr>
          <w:rFonts w:ascii="Calibri" w:cs="Calibri" w:eastAsia="Calibri" w:hAnsi="Calibri"/>
          <w:b/>
          <w:bCs/>
          <w:color w:val="2F5496"/>
          <w:sz w:val="24"/>
          <w:szCs w:val="24"/>
        </w:rPr>
        <w:t xml:space="preserve">4.5 Assumptions and Limitations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Item-level mailbox access could not be enumerated because MailItemsAccessed logging is not available at this mailbox’s licensing tier; the data-exposure determination is therefore based on session scope and duration rather than direct read events.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 small number of additional sign-in events from M247 addresses were observed later in the evening and were reviewed; no associated mailbox actions, rule changes, or sends were identified. Emphasis on immediate session/token revocation is reflected in the recommendations.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Timestamps are drawn from Entra ID and are expressed in UTC.</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5. Timeline of Events</w:t>
      </w:r>
    </w:p>
    <w:p>
      <w:pPr>
        <w:spacing w:after="120" w:before="0" w:line="264"/>
      </w:pPr>
      <w:r>
        <w:rPr>
          <w:rFonts w:ascii="Calibri" w:cs="Calibri" w:eastAsia="Calibri" w:hAnsi="Calibri"/>
          <w:b w:val="false"/>
          <w:bCs w:val="false"/>
          <w:i/>
          <w:iCs/>
          <w:color w:val="666666"/>
          <w:sz w:val="20"/>
          <w:szCs w:val="20"/>
        </w:rPr>
        <w:t xml:space="preserve">All times are in UTC unless otherwise noted.</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350"/>
        <w:gridCol w:w="4400"/>
        <w:gridCol w:w="2380"/>
      </w:tblGrid>
      <w:tr>
        <w:trPr>
          <w:tblHeader/>
        </w:trPr>
        <w:tc>
          <w:tcPr>
            <w:tcW w:type="dxa" w:w="19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13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Actor</w:t>
            </w:r>
          </w:p>
        </w:tc>
        <w:tc>
          <w:tcPr>
            <w:tcW w:type="dxa" w:w="4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Event</w:t>
            </w:r>
          </w:p>
        </w:tc>
        <w:tc>
          <w:tcPr>
            <w:tcW w:type="dxa" w:w="23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Evidence Source</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2025-10-30 23:17:11</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First successful sign-in to OfficeHome from M247 IPv6 2a0d:5600:8:9bbc:...:2351; KMSI interrupt (session 8b638296-945d)</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2025-10-30 23:17:58</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Sign-in from M247 IPv6 2a0d:5600:8:29a8:...:251c; KMSI interrupt</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2025-10-30 23:17:59</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Sign-in from Nigerian IPv6 2c0f:2a80:14:7ea2:...:1a1 reusing session 8b638296-945d (token replay)</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2025-10-30 23:18:34</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Access to One Outlook Web (Office 365 Exchange Online) from the Nigerian IPv6</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2025-10-30 23:19:57</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Further OfficeHome sign-in from M247 IPv6 (session f21b3479-3a7d)</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2025-10-30 ~23:22</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Unusual sign-in activity detected; account disabled</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2025-10-30 23:23:00</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Detection</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Threat-actor sign-in fails with AADSTS50057 (account disabled)</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2025-10-31</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Password reset, sessions/refresh tokens revoked, MFA re-enrolled, account re-enabled</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2025-10-31</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Post-remediation legitimate sign-ins from 70.168.253.125 (Cox, Bridgeport) confirm re-authentication</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6. Technical Findings</w:t>
      </w:r>
    </w:p>
    <w:p>
      <w:pPr>
        <w:pStyle w:val="Heading2"/>
        <w:keepNext/>
        <w:spacing w:after="80" w:before="180"/>
      </w:pPr>
      <w:r>
        <w:rPr>
          <w:rFonts w:ascii="Calibri" w:cs="Calibri" w:eastAsia="Calibri" w:hAnsi="Calibri"/>
          <w:b/>
          <w:bCs/>
          <w:color w:val="2F5496"/>
          <w:sz w:val="24"/>
          <w:szCs w:val="24"/>
        </w:rPr>
        <w:t xml:space="preserve">6.1 Initial Access</w:t>
      </w:r>
    </w:p>
    <w:p>
      <w:pPr>
        <w:spacing w:after="120" w:before="0" w:line="264"/>
      </w:pPr>
      <w:r>
        <w:rPr>
          <w:rFonts w:ascii="Calibri" w:cs="Calibri" w:eastAsia="Calibri" w:hAnsi="Calibri"/>
          <w:b w:val="false"/>
          <w:bCs w:val="false"/>
          <w:i w:val="false"/>
          <w:iCs w:val="false"/>
          <w:color w:val="1A1A1A"/>
          <w:sz w:val="22"/>
          <w:szCs w:val="22"/>
        </w:rPr>
        <w:t xml:space="preserve">Initial access is assessed as adversary-in-the-middle (AiTM) credential-and-token theft. The reported originating vector was an automated phishing portal that proxied the Microsoft sign-in and captured both the user’s credentials and a valid session token. This assessment is inferential as to the specific lure (the phishing message itself was not recovered) but is directly supported by the session-replay evidence below.</w:t>
      </w:r>
    </w:p>
    <w:p>
      <w:pPr>
        <w:pStyle w:val="Heading2"/>
        <w:keepNext/>
        <w:spacing w:after="80" w:before="180"/>
      </w:pPr>
      <w:r>
        <w:rPr>
          <w:rFonts w:ascii="Calibri" w:cs="Calibri" w:eastAsia="Calibri" w:hAnsi="Calibri"/>
          <w:b/>
          <w:bCs/>
          <w:color w:val="2F5496"/>
          <w:sz w:val="24"/>
          <w:szCs w:val="24"/>
        </w:rPr>
        <w:t xml:space="preserve">6.2 Authentication and Session Establishment</w:t>
      </w:r>
    </w:p>
    <w:p>
      <w:pPr>
        <w:spacing w:after="120" w:before="0" w:line="264"/>
      </w:pPr>
      <w:r>
        <w:rPr>
          <w:rFonts w:ascii="Calibri" w:cs="Calibri" w:eastAsia="Calibri" w:hAnsi="Calibri"/>
          <w:b w:val="false"/>
          <w:bCs w:val="false"/>
          <w:i w:val="false"/>
          <w:iCs w:val="false"/>
          <w:color w:val="1A1A1A"/>
          <w:sz w:val="22"/>
          <w:szCs w:val="22"/>
        </w:rPr>
        <w:t xml:space="preserve">The threat actor’s sign-ins originated from an IPv6 address in Nigeria (2c0f:2a80:14:7ea2:7c04:99ad:8833:1a1, geolocating to Garrison 2, West Province 4) using Edge 140 on Windows 10, and from three M247 Europe SRL IPv6 addresses (2a0d:5600:8:29a8:...:251c, 2a0d:5600:8:9bbc:...:2351, 2a0d:5600:8:c8d0:...:63d6) presenting no identifiable browser or operating system and carrying a Scamalytics fraud score of 69/100.</w:t>
      </w:r>
    </w:p>
    <w:p>
      <w:pPr>
        <w:spacing w:after="120" w:before="0" w:line="264"/>
      </w:pPr>
      <w:r>
        <w:rPr>
          <w:rFonts w:ascii="Calibri" w:cs="Calibri" w:eastAsia="Calibri" w:hAnsi="Calibri"/>
          <w:b w:val="false"/>
          <w:bCs w:val="false"/>
          <w:i w:val="false"/>
          <w:iCs w:val="false"/>
          <w:color w:val="1A1A1A"/>
          <w:sz w:val="22"/>
          <w:szCs w:val="22"/>
        </w:rPr>
        <w:t xml:space="preserve">A single session identifier, 8b638296-945d, was observed on sign-ins from both the M247 IPv6 (23:17:11 UTC) and the Nigerian IPv6 (23:17:59 UTC), a strong indicator that a stolen token was replayed across hosts. Repeated “Keep me signed in” (KMSI) interrupt events accompanied the automated sessions. This contrasts sharply with the user’s baseline of Cox Communications (Bridgeport) and residential IPv6 sign-ins on Chrome/Edge.</w:t>
      </w:r>
    </w:p>
    <w:p>
      <w:pPr>
        <w:pStyle w:val="Heading2"/>
        <w:keepNext/>
        <w:spacing w:after="80" w:before="180"/>
      </w:pPr>
      <w:r>
        <w:rPr>
          <w:rFonts w:ascii="Calibri" w:cs="Calibri" w:eastAsia="Calibri" w:hAnsi="Calibri"/>
          <w:b/>
          <w:bCs/>
          <w:color w:val="2F5496"/>
          <w:sz w:val="24"/>
          <w:szCs w:val="24"/>
        </w:rPr>
        <w:t xml:space="preserve">6.3 Persistence Mechanisms</w:t>
      </w:r>
    </w:p>
    <w:p>
      <w:pPr>
        <w:spacing w:after="120" w:before="0" w:line="264"/>
      </w:pPr>
      <w:r>
        <w:rPr>
          <w:rFonts w:ascii="Calibri" w:cs="Calibri" w:eastAsia="Calibri" w:hAnsi="Calibri"/>
          <w:b w:val="false"/>
          <w:bCs w:val="false"/>
          <w:i w:val="false"/>
          <w:iCs w:val="false"/>
          <w:color w:val="1A1A1A"/>
          <w:sz w:val="22"/>
          <w:szCs w:val="22"/>
        </w:rPr>
        <w:t xml:space="preserve">No persistence mechanisms were identified. Review of inbox-rule and Set-Mailbox change logs, mailbox forwarding settings, delegate permissions, OAuth application consents, and tenant-level transport-rule and federation configuration found no attacker-created artifacts.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Inbox Rules: none created or modified by the threat actor.</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Mail Forwarding: none configured.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Delegate / Mailbox Permissions: no changes.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OAuth Application Consents: none granted.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Authentication Methods: none added by the threat actor (user MFA later re-enrolled by the administrator).</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Tenant-Level Changes: no transport-rule, connector, federation, or Conditional Access modifications observed.</w:t>
      </w:r>
    </w:p>
    <w:p>
      <w:pPr>
        <w:pStyle w:val="Heading2"/>
        <w:keepNext/>
        <w:spacing w:after="80" w:before="180"/>
      </w:pPr>
      <w:r>
        <w:rPr>
          <w:rFonts w:ascii="Calibri" w:cs="Calibri" w:eastAsia="Calibri" w:hAnsi="Calibri"/>
          <w:b/>
          <w:bCs/>
          <w:color w:val="2F5496"/>
          <w:sz w:val="24"/>
          <w:szCs w:val="24"/>
        </w:rPr>
        <w:t xml:space="preserve">6.4 Reconnaissance and Collection</w:t>
      </w:r>
    </w:p>
    <w:p>
      <w:pPr>
        <w:spacing w:after="120" w:before="0" w:line="264"/>
      </w:pPr>
      <w:r>
        <w:rPr>
          <w:rFonts w:ascii="Calibri" w:cs="Calibri" w:eastAsia="Calibri" w:hAnsi="Calibri"/>
          <w:b w:val="false"/>
          <w:bCs w:val="false"/>
          <w:i w:val="false"/>
          <w:iCs w:val="false"/>
          <w:color w:val="1A1A1A"/>
          <w:sz w:val="22"/>
          <w:szCs w:val="22"/>
        </w:rPr>
        <w:t xml:space="preserve">Because MailItemsAccessed logging is not available at this mailbox’s tier, specific read or search activity cannot be enumerated. The authenticated session was scoped to OfficeHome and One Outlook Web over an approximately five-minute window.</w:t>
      </w:r>
    </w:p>
    <w:p>
      <w:pPr>
        <w:pStyle w:val="Heading2"/>
        <w:keepNext/>
        <w:spacing w:after="80" w:before="180"/>
      </w:pPr>
      <w:r>
        <w:rPr>
          <w:rFonts w:ascii="Calibri" w:cs="Calibri" w:eastAsia="Calibri" w:hAnsi="Calibri"/>
          <w:b/>
          <w:bCs/>
          <w:color w:val="2F5496"/>
          <w:sz w:val="24"/>
          <w:szCs w:val="24"/>
        </w:rPr>
        <w:t xml:space="preserve">6.5 Lateral Movement</w:t>
      </w:r>
    </w:p>
    <w:p>
      <w:pPr>
        <w:spacing w:after="120" w:before="0" w:line="264"/>
      </w:pPr>
      <w:r>
        <w:rPr>
          <w:rFonts w:ascii="Calibri" w:cs="Calibri" w:eastAsia="Calibri" w:hAnsi="Calibri"/>
          <w:b w:val="false"/>
          <w:bCs w:val="false"/>
          <w:i w:val="false"/>
          <w:iCs w:val="false"/>
          <w:color w:val="1A1A1A"/>
          <w:sz w:val="22"/>
          <w:szCs w:val="22"/>
        </w:rPr>
        <w:t xml:space="preserve">No lateral movement was observed. No internal phishing was sent, and no other tenant accounts showed sign-ins correlated to the threat-actor infrastructure.</w:t>
      </w:r>
    </w:p>
    <w:p>
      <w:pPr>
        <w:pStyle w:val="Heading2"/>
        <w:keepNext/>
        <w:spacing w:after="80" w:before="180"/>
      </w:pPr>
      <w:r>
        <w:rPr>
          <w:rFonts w:ascii="Calibri" w:cs="Calibri" w:eastAsia="Calibri" w:hAnsi="Calibri"/>
          <w:b/>
          <w:bCs/>
          <w:color w:val="2F5496"/>
          <w:sz w:val="24"/>
          <w:szCs w:val="24"/>
        </w:rPr>
        <w:t xml:space="preserve">6.6 Exfiltration</w:t>
      </w:r>
    </w:p>
    <w:p>
      <w:pPr>
        <w:spacing w:after="120" w:before="0" w:line="264"/>
      </w:pPr>
      <w:r>
        <w:rPr>
          <w:rFonts w:ascii="Calibri" w:cs="Calibri" w:eastAsia="Calibri" w:hAnsi="Calibri"/>
          <w:b w:val="false"/>
          <w:bCs w:val="false"/>
          <w:i w:val="false"/>
          <w:iCs w:val="false"/>
          <w:color w:val="1A1A1A"/>
          <w:sz w:val="22"/>
          <w:szCs w:val="22"/>
        </w:rPr>
        <w:t xml:space="preserve">No direct evidence of exfiltration was identified. The tenant’s licensing tier does not provide MailItemsAccessed events for this mailbox, which limits the ability to detect item-level reads; however, no outbound sends, no mailbox export operations, and no file downloads were evidenced.</w:t>
      </w:r>
    </w:p>
    <w:p>
      <w:pPr>
        <w:pStyle w:val="Heading2"/>
        <w:keepNext/>
        <w:spacing w:after="80" w:before="180"/>
      </w:pPr>
      <w:r>
        <w:rPr>
          <w:rFonts w:ascii="Calibri" w:cs="Calibri" w:eastAsia="Calibri" w:hAnsi="Calibri"/>
          <w:b/>
          <w:bCs/>
          <w:color w:val="2F5496"/>
          <w:sz w:val="24"/>
          <w:szCs w:val="24"/>
        </w:rPr>
        <w:t xml:space="preserve">6.7 Impact Actions</w:t>
      </w:r>
    </w:p>
    <w:p>
      <w:pPr>
        <w:spacing w:after="120" w:before="0" w:line="264"/>
      </w:pPr>
      <w:r>
        <w:rPr>
          <w:rFonts w:ascii="Calibri" w:cs="Calibri" w:eastAsia="Calibri" w:hAnsi="Calibri"/>
          <w:b w:val="false"/>
          <w:bCs w:val="false"/>
          <w:i w:val="false"/>
          <w:iCs w:val="false"/>
          <w:color w:val="1A1A1A"/>
          <w:sz w:val="22"/>
          <w:szCs w:val="22"/>
        </w:rPr>
        <w:t xml:space="preserve">No impact actions (wire fraud, invoice manipulation, gift-card fraud, payroll/ACH redirect, or data theft) were evidenced against this mailbox. The account was disabled before any such action was observed.</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7. Indicators of Compromise (IOCs)</w:t>
      </w:r>
    </w:p>
    <w:p>
      <w:pPr>
        <w:pStyle w:val="Heading2"/>
        <w:keepNext/>
        <w:spacing w:after="80" w:before="180"/>
      </w:pPr>
      <w:r>
        <w:rPr>
          <w:rFonts w:ascii="Calibri" w:cs="Calibri" w:eastAsia="Calibri" w:hAnsi="Calibri"/>
          <w:b/>
          <w:bCs/>
          <w:color w:val="2F5496"/>
          <w:sz w:val="24"/>
          <w:szCs w:val="24"/>
        </w:rPr>
        <w:t xml:space="preserve">7.1 Network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500"/>
        <w:gridCol w:w="3700"/>
        <w:gridCol w:w="1900"/>
        <w:gridCol w:w="3080"/>
      </w:tblGrid>
      <w:tr>
        <w:trPr>
          <w:tblHeader/>
        </w:trPr>
        <w:tc>
          <w:tcPr>
            <w:tcW w:type="dxa" w:w="15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3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First Seen (UTC)</w:t>
            </w:r>
          </w:p>
        </w:tc>
        <w:tc>
          <w:tcPr>
            <w:tcW w:type="dxa" w:w="30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1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IPv6</w:t>
            </w:r>
          </w:p>
        </w:tc>
        <w:tc>
          <w:tcPr>
            <w:tcW w:type="dxa" w:w="37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2c0f:2a80:14:7ea2:7c04:99ad:8833:1a1</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2025-10-30 23:17</w:t>
            </w:r>
          </w:p>
        </w:tc>
        <w:tc>
          <w:tcPr>
            <w:tcW w:type="dxa" w:w="30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Garrison 2, NG; threat-actor access; Edge 140 / Win10</w:t>
            </w:r>
          </w:p>
        </w:tc>
      </w:tr>
      <w:tr>
        <w:tc>
          <w:tcPr>
            <w:tcW w:type="dxa" w:w="15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IPv6</w:t>
            </w:r>
          </w:p>
        </w:tc>
        <w:tc>
          <w:tcPr>
            <w:tcW w:type="dxa" w:w="3700"/>
            <w:shd w:fill="F2F5FA"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2a0d:5600:8:29a8:3d69:8ceb:df66:251c</w:t>
            </w:r>
          </w:p>
        </w:tc>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2025-10-30 23:17</w:t>
            </w:r>
          </w:p>
        </w:tc>
        <w:tc>
          <w:tcPr>
            <w:tcW w:type="dxa" w:w="30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M247 Europe SRL; automated session; Scamalytics 69</w:t>
            </w:r>
          </w:p>
        </w:tc>
      </w:tr>
      <w:tr>
        <w:tc>
          <w:tcPr>
            <w:tcW w:type="dxa" w:w="1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IPv6</w:t>
            </w:r>
          </w:p>
        </w:tc>
        <w:tc>
          <w:tcPr>
            <w:tcW w:type="dxa" w:w="37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2a0d:5600:8:9bbc:171d:77b3:c6ca:2351</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2025-10-30 23:17</w:t>
            </w:r>
          </w:p>
        </w:tc>
        <w:tc>
          <w:tcPr>
            <w:tcW w:type="dxa" w:w="30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M247 Europe SRL; automated session; token replay</w:t>
            </w:r>
          </w:p>
        </w:tc>
      </w:tr>
      <w:tr>
        <w:tc>
          <w:tcPr>
            <w:tcW w:type="dxa" w:w="15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IPv6</w:t>
            </w:r>
          </w:p>
        </w:tc>
        <w:tc>
          <w:tcPr>
            <w:tcW w:type="dxa" w:w="3700"/>
            <w:shd w:fill="F2F5FA"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2a0d:5600:8:c8d0:1188:7f:546d:63d6</w:t>
            </w:r>
          </w:p>
        </w:tc>
        <w:tc>
          <w:tcPr>
            <w:tcW w:type="dxa" w:w="1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2025-10-30 23:49</w:t>
            </w:r>
          </w:p>
        </w:tc>
        <w:tc>
          <w:tcPr>
            <w:tcW w:type="dxa" w:w="30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M247 Europe SRL; later sign-in events</w:t>
            </w:r>
          </w:p>
        </w:tc>
      </w:tr>
    </w:tbl>
    <w:p>
      <w:pPr>
        <w:pStyle w:val="Heading2"/>
        <w:keepNext/>
        <w:spacing w:after="80" w:before="180"/>
      </w:pPr>
      <w:r>
        <w:rPr>
          <w:rFonts w:ascii="Calibri" w:cs="Calibri" w:eastAsia="Calibri" w:hAnsi="Calibri"/>
          <w:b/>
          <w:bCs/>
          <w:color w:val="2F5496"/>
          <w:sz w:val="24"/>
          <w:szCs w:val="24"/>
        </w:rPr>
        <w:t xml:space="preserve">7.2 Identity and Session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4200"/>
        <w:gridCol w:w="3480"/>
      </w:tblGrid>
      <w:tr>
        <w:trPr>
          <w:tblHeader/>
        </w:trPr>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Session ID</w:t>
            </w:r>
          </w:p>
        </w:tc>
        <w:tc>
          <w:tcPr>
            <w:tcW w:type="dxa" w:w="42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8b638296-945d</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Reused across Nigerian and M247 IPs, token-replay fingerprint</w:t>
            </w:r>
          </w:p>
        </w:tc>
      </w:tr>
      <w:tr>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Session ID</w:t>
            </w:r>
          </w:p>
        </w:tc>
        <w:tc>
          <w:tcPr>
            <w:tcW w:type="dxa" w:w="4200"/>
            <w:shd w:fill="F2F5FA"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f21b3479-3a7d</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Threat-actor OfficeHome session</w:t>
            </w:r>
          </w:p>
        </w:tc>
      </w:tr>
      <w:tr>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Correlation ID</w:t>
            </w:r>
          </w:p>
        </w:tc>
        <w:tc>
          <w:tcPr>
            <w:tcW w:type="dxa" w:w="42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1ab07221-b89a</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Nigerian IP OfficeHome sign-in</w:t>
            </w:r>
          </w:p>
        </w:tc>
      </w:tr>
      <w:tr>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Error code</w:t>
            </w:r>
          </w:p>
        </w:tc>
        <w:tc>
          <w:tcPr>
            <w:tcW w:type="dxa" w:w="4200"/>
            <w:shd w:fill="F2F5FA"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AADSTS50057</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Post-containment sign-in failure (account disabled)</w:t>
            </w:r>
          </w:p>
        </w:tc>
      </w:tr>
    </w:tbl>
    <w:p>
      <w:pPr>
        <w:pStyle w:val="Heading2"/>
        <w:keepNext/>
        <w:spacing w:after="80" w:before="180"/>
      </w:pPr>
      <w:r>
        <w:rPr>
          <w:rFonts w:ascii="Calibri" w:cs="Calibri" w:eastAsia="Calibri" w:hAnsi="Calibri"/>
          <w:b/>
          <w:bCs/>
          <w:color w:val="2F5496"/>
          <w:sz w:val="24"/>
          <w:szCs w:val="24"/>
        </w:rPr>
        <w:t xml:space="preserve">7.3 Email Indicators</w:t>
      </w:r>
    </w:p>
    <w:p>
      <w:pPr>
        <w:spacing w:after="120" w:before="0" w:line="264"/>
      </w:pPr>
      <w:r>
        <w:rPr>
          <w:rFonts w:ascii="Calibri" w:cs="Calibri" w:eastAsia="Calibri" w:hAnsi="Calibri"/>
          <w:b w:val="false"/>
          <w:bCs w:val="false"/>
          <w:i w:val="false"/>
          <w:iCs w:val="false"/>
          <w:color w:val="1A1A1A"/>
          <w:sz w:val="22"/>
          <w:szCs w:val="22"/>
        </w:rPr>
        <w:t xml:space="preserve">No malicious inbound or outbound email indicators were identified for this incident.</w:t>
      </w:r>
    </w:p>
    <w:p>
      <w:pPr>
        <w:pStyle w:val="Heading2"/>
        <w:keepNext/>
        <w:spacing w:after="80" w:before="180"/>
      </w:pPr>
      <w:r>
        <w:rPr>
          <w:rFonts w:ascii="Calibri" w:cs="Calibri" w:eastAsia="Calibri" w:hAnsi="Calibri"/>
          <w:b/>
          <w:bCs/>
          <w:color w:val="2F5496"/>
          <w:sz w:val="24"/>
          <w:szCs w:val="24"/>
        </w:rPr>
        <w:t xml:space="preserve">7.4 Application and Persistence Indicators</w:t>
      </w:r>
    </w:p>
    <w:p>
      <w:pPr>
        <w:spacing w:after="120" w:before="0" w:line="264"/>
      </w:pPr>
      <w:r>
        <w:rPr>
          <w:rFonts w:ascii="Calibri" w:cs="Calibri" w:eastAsia="Calibri" w:hAnsi="Calibri"/>
          <w:b w:val="false"/>
          <w:bCs w:val="false"/>
          <w:i w:val="false"/>
          <w:iCs w:val="false"/>
          <w:color w:val="1A1A1A"/>
          <w:sz w:val="22"/>
          <w:szCs w:val="22"/>
        </w:rPr>
        <w:t xml:space="preserve">No persistence artifacts (OAuth applications, inbox rules, transport rules, or federated domains) were identified.</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8. Data Exposure Assessment</w:t>
      </w:r>
    </w:p>
    <w:p>
      <w:pPr>
        <w:pStyle w:val="Heading2"/>
        <w:keepNext/>
        <w:spacing w:after="80" w:before="180"/>
      </w:pPr>
      <w:r>
        <w:rPr>
          <w:rFonts w:ascii="Calibri" w:cs="Calibri" w:eastAsia="Calibri" w:hAnsi="Calibri"/>
          <w:b/>
          <w:bCs/>
          <w:color w:val="2F5496"/>
          <w:sz w:val="24"/>
          <w:szCs w:val="24"/>
        </w:rPr>
        <w:t xml:space="preserve">8.1 Methodology</w:t>
      </w:r>
    </w:p>
    <w:p>
      <w:pPr>
        <w:spacing w:after="120" w:before="0" w:line="264"/>
      </w:pPr>
      <w:r>
        <w:rPr>
          <w:rFonts w:ascii="Calibri" w:cs="Calibri" w:eastAsia="Calibri" w:hAnsi="Calibri"/>
          <w:b w:val="false"/>
          <w:bCs w:val="false"/>
          <w:i w:val="false"/>
          <w:iCs w:val="false"/>
          <w:color w:val="1A1A1A"/>
          <w:sz w:val="22"/>
          <w:szCs w:val="22"/>
        </w:rPr>
        <w:t xml:space="preserve">Data exposure was assessed from session scope, duration, and the absence of item-level access and outbound activity. MailItemsAccessed events were not available at this mailbox’s licensing tier, so specific messages read by the threat actor could not be enumerated; this limitation is stated directly rather than glossed.</w:t>
      </w:r>
    </w:p>
    <w:p>
      <w:pPr>
        <w:pStyle w:val="Heading2"/>
        <w:keepNext/>
        <w:spacing w:after="80" w:before="180"/>
      </w:pPr>
      <w:r>
        <w:rPr>
          <w:rFonts w:ascii="Calibri" w:cs="Calibri" w:eastAsia="Calibri" w:hAnsi="Calibri"/>
          <w:b/>
          <w:bCs/>
          <w:color w:val="2F5496"/>
          <w:sz w:val="24"/>
          <w:szCs w:val="24"/>
        </w:rPr>
        <w:t xml:space="preserve">8.2 Mailbox Content Exposure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1900"/>
        <w:gridCol w:w="2400"/>
        <w:gridCol w:w="2380"/>
      </w:tblGrid>
      <w:tr>
        <w:trPr>
          <w:tblHeader/>
        </w:trPr>
        <w:tc>
          <w:tcPr>
            <w:tcW w:type="dxa" w:w="28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Affected User</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Messages Accessed</w:t>
            </w:r>
          </w:p>
        </w:tc>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 Window</w:t>
            </w:r>
          </w:p>
        </w:tc>
        <w:tc>
          <w:tcPr>
            <w:tcW w:type="dxa" w:w="23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Content Categories</w:t>
            </w:r>
          </w:p>
        </w:tc>
      </w:tr>
      <w:tr>
        <w:tc>
          <w:tcPr>
            <w:tcW w:type="dxa" w:w="28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victoria1.heather3@acme.com</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Indeterminate (no item-level logging)</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~23:17–23:22 UTC, Oct 30</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Mailbox contents potentially viewable during session</w:t>
            </w:r>
          </w:p>
        </w:tc>
      </w:tr>
    </w:tbl>
    <w:p>
      <w:pPr>
        <w:pStyle w:val="Heading2"/>
        <w:keepNext/>
        <w:spacing w:after="80" w:before="180"/>
      </w:pPr>
      <w:r>
        <w:rPr>
          <w:rFonts w:ascii="Calibri" w:cs="Calibri" w:eastAsia="Calibri" w:hAnsi="Calibri"/>
          <w:b/>
          <w:bCs/>
          <w:color w:val="2F5496"/>
          <w:sz w:val="24"/>
          <w:szCs w:val="24"/>
        </w:rPr>
        <w:t xml:space="preserve">8.3 File and Document Exposure</w:t>
      </w:r>
    </w:p>
    <w:p>
      <w:pPr>
        <w:spacing w:after="120" w:before="0" w:line="264"/>
      </w:pPr>
      <w:r>
        <w:rPr>
          <w:rFonts w:ascii="Calibri" w:cs="Calibri" w:eastAsia="Calibri" w:hAnsi="Calibri"/>
          <w:b w:val="false"/>
          <w:bCs w:val="false"/>
          <w:i w:val="false"/>
          <w:iCs w:val="false"/>
          <w:color w:val="1A1A1A"/>
          <w:sz w:val="22"/>
          <w:szCs w:val="22"/>
        </w:rPr>
        <w:t xml:space="preserve">No SharePoint or OneDrive file access by the threat actor was identified within the available audit scope.</w:t>
      </w:r>
    </w:p>
    <w:p>
      <w:pPr>
        <w:pStyle w:val="Heading2"/>
        <w:keepNext/>
        <w:spacing w:after="80" w:before="180"/>
      </w:pPr>
      <w:r>
        <w:rPr>
          <w:rFonts w:ascii="Calibri" w:cs="Calibri" w:eastAsia="Calibri" w:hAnsi="Calibri"/>
          <w:b/>
          <w:bCs/>
          <w:color w:val="2F5496"/>
          <w:sz w:val="24"/>
          <w:szCs w:val="24"/>
        </w:rPr>
        <w:t xml:space="preserve">8.4 Regulatory-Significant Data Categories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480"/>
      </w:tblGrid>
      <w:tr>
        <w:trPr>
          <w:tblHeader/>
        </w:trPr>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Category</w:t>
            </w:r>
          </w:p>
        </w:tc>
        <w:tc>
          <w:tcPr>
            <w:tcW w:type="dxa" w:w="6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Finding</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PHI</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PII</w:t>
            </w:r>
          </w:p>
        </w:tc>
        <w:tc>
          <w:tcPr>
            <w:tcW w:type="dxa" w:w="6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Indeterminate; no specific access evidenced</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PCI / Financial Account Info</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Attorney-Client Privileged</w:t>
            </w:r>
          </w:p>
        </w:tc>
        <w:tc>
          <w:tcPr>
            <w:tcW w:type="dxa" w:w="6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Trade Secrets / IP</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bl>
    <w:p>
      <w:pPr>
        <w:pStyle w:val="Heading2"/>
        <w:keepNext/>
        <w:spacing w:after="80" w:before="180"/>
      </w:pPr>
      <w:r>
        <w:rPr>
          <w:rFonts w:ascii="Calibri" w:cs="Calibri" w:eastAsia="Calibri" w:hAnsi="Calibri"/>
          <w:b/>
          <w:bCs/>
          <w:color w:val="2F5496"/>
          <w:sz w:val="24"/>
          <w:szCs w:val="24"/>
        </w:rPr>
        <w:t xml:space="preserve">8.5 Exposure Determination</w:t>
      </w:r>
    </w:p>
    <w:p>
      <w:pPr>
        <w:spacing w:after="120" w:before="0" w:line="264"/>
      </w:pPr>
      <w:r>
        <w:rPr>
          <w:rFonts w:ascii="Calibri" w:cs="Calibri" w:eastAsia="Calibri" w:hAnsi="Calibri"/>
          <w:b w:val="false"/>
          <w:bCs w:val="false"/>
          <w:i w:val="false"/>
          <w:iCs w:val="false"/>
          <w:color w:val="1A1A1A"/>
          <w:sz w:val="22"/>
          <w:szCs w:val="22"/>
        </w:rPr>
        <w:t xml:space="preserve">No data exposure is confirmed by direct log evidence. Given the roughly five-minute authenticated session with access to Outlook Web, mailbox contents were within reach and are therefore treated as “probably accessible” but “not evidenced as accessed.” This distinction is material for any notification analysis, which is counsel’s determination.</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9. Root Cause Analysis</w:t>
      </w:r>
    </w:p>
    <w:p>
      <w:pPr>
        <w:pStyle w:val="Heading2"/>
        <w:keepNext/>
        <w:spacing w:after="80" w:before="180"/>
      </w:pPr>
      <w:r>
        <w:rPr>
          <w:rFonts w:ascii="Calibri" w:cs="Calibri" w:eastAsia="Calibri" w:hAnsi="Calibri"/>
          <w:b/>
          <w:bCs/>
          <w:color w:val="2F5496"/>
          <w:sz w:val="24"/>
          <w:szCs w:val="24"/>
        </w:rPr>
        <w:t xml:space="preserve">9.1 Primary Root Cause</w:t>
      </w:r>
    </w:p>
    <w:p>
      <w:pPr>
        <w:spacing w:after="120" w:before="0" w:line="264"/>
      </w:pPr>
      <w:r>
        <w:rPr>
          <w:rFonts w:ascii="Calibri" w:cs="Calibri" w:eastAsia="Calibri" w:hAnsi="Calibri"/>
          <w:b w:val="false"/>
          <w:bCs w:val="false"/>
          <w:i w:val="false"/>
          <w:iCs w:val="false"/>
          <w:color w:val="1A1A1A"/>
          <w:sz w:val="22"/>
          <w:szCs w:val="22"/>
        </w:rPr>
        <w:t xml:space="preserve">The primary root cause was credential and session-token disclosure through an adversary-in-the-middle phishing portal, which allowed the threat actor to bypass multi-factor authentication by replaying a stolen token. Traditional MFA does not prevent this class of attack because the attacker presents an already-authenticated token.</w:t>
      </w:r>
    </w:p>
    <w:p>
      <w:pPr>
        <w:pStyle w:val="Heading2"/>
        <w:keepNext/>
        <w:spacing w:after="80" w:before="180"/>
      </w:pPr>
      <w:r>
        <w:rPr>
          <w:rFonts w:ascii="Calibri" w:cs="Calibri" w:eastAsia="Calibri" w:hAnsi="Calibri"/>
          <w:b/>
          <w:bCs/>
          <w:color w:val="2F5496"/>
          <w:sz w:val="24"/>
          <w:szCs w:val="24"/>
        </w:rPr>
        <w:t xml:space="preserve">9.2 Contributing Factors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Absence of phish-resistant MFA (FIDO2 / certificate-based), which would have prevented token replay.</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Conditional Access rule blocking or challenging sign-ins from anonymizing/hosting ASNs (M247) or from atypical geographies.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Legacy SMTP AUTH enabled tenant-wide, presenting an additional, actively targeted attack surface.</w:t>
      </w:r>
    </w:p>
    <w:p>
      <w:pPr>
        <w:pStyle w:val="Heading2"/>
        <w:keepNext/>
        <w:spacing w:after="80" w:before="180"/>
      </w:pPr>
      <w:r>
        <w:rPr>
          <w:rFonts w:ascii="Calibri" w:cs="Calibri" w:eastAsia="Calibri" w:hAnsi="Calibri"/>
          <w:b/>
          <w:bCs/>
          <w:color w:val="2F5496"/>
          <w:sz w:val="24"/>
          <w:szCs w:val="24"/>
        </w:rPr>
        <w:t xml:space="preserve">9.3 Detection Gaps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Detection depended on manual observation of unusual sign-in activity rather than automated alerting on impossible-travel or anonymizer sign-ins.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automated alert on high-volume SMTP authentication failures, allowing the brute-force campaign to run unremarked.</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10. Containment, Eradication, and Recovery</w:t>
      </w:r>
    </w:p>
    <w:p>
      <w:pPr>
        <w:pStyle w:val="Heading2"/>
        <w:keepNext/>
        <w:spacing w:after="80" w:before="180"/>
      </w:pPr>
      <w:r>
        <w:rPr>
          <w:rFonts w:ascii="Calibri" w:cs="Calibri" w:eastAsia="Calibri" w:hAnsi="Calibri"/>
          <w:b/>
          <w:bCs/>
          <w:color w:val="2F5496"/>
          <w:sz w:val="24"/>
          <w:szCs w:val="24"/>
        </w:rPr>
        <w:t xml:space="preserve">10.1 Containment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2025-10-30 ~23:22</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Disabled the compromised account to terminate active sessions</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Subsequent sign-ins fail with AADSTS50057 (account disabled)</w:t>
            </w:r>
          </w:p>
        </w:tc>
      </w:tr>
    </w:tbl>
    <w:p>
      <w:pPr>
        <w:pStyle w:val="Heading2"/>
        <w:keepNext/>
        <w:spacing w:after="80" w:before="180"/>
      </w:pPr>
      <w:r>
        <w:rPr>
          <w:rFonts w:ascii="Calibri" w:cs="Calibri" w:eastAsia="Calibri" w:hAnsi="Calibri"/>
          <w:b/>
          <w:bCs/>
          <w:color w:val="2F5496"/>
          <w:sz w:val="24"/>
          <w:szCs w:val="24"/>
        </w:rPr>
        <w:t xml:space="preserve">10.2 Eradication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2025-10-31</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Reset user password and revoked all sessions / refresh tokens</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token invalidation confirmed</w:t>
            </w:r>
          </w:p>
        </w:tc>
      </w:tr>
      <w:tr>
        <w:tc>
          <w:tcPr>
            <w:tcW w:type="dxa" w:w="21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2025-10-31</w:t>
            </w:r>
          </w:p>
        </w:tc>
        <w:tc>
          <w:tcPr>
            <w:tcW w:type="dxa" w:w="3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Reviewed inbox rules, forwarding, delegates, OAuth grants, none malicious</w:t>
            </w:r>
          </w:p>
        </w:tc>
        <w:tc>
          <w:tcPr>
            <w:tcW w:type="dxa" w:w="3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Configuration review; no artifacts found</w:t>
            </w:r>
          </w:p>
        </w:tc>
      </w:tr>
    </w:tbl>
    <w:p>
      <w:pPr>
        <w:pStyle w:val="Heading2"/>
        <w:keepNext/>
        <w:spacing w:after="80" w:before="180"/>
      </w:pPr>
      <w:r>
        <w:rPr>
          <w:rFonts w:ascii="Calibri" w:cs="Calibri" w:eastAsia="Calibri" w:hAnsi="Calibri"/>
          <w:b/>
          <w:bCs/>
          <w:color w:val="2F5496"/>
          <w:sz w:val="24"/>
          <w:szCs w:val="24"/>
        </w:rPr>
        <w:t xml:space="preserve">10.3 Recovery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2025-10-31</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Re-enabled account after credential reset and MFA re-enrollment</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w:t>
            </w:r>
          </w:p>
        </w:tc>
      </w:tr>
      <w:tr>
        <w:tc>
          <w:tcPr>
            <w:tcW w:type="dxa" w:w="21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2025-10-31</w:t>
            </w:r>
          </w:p>
        </w:tc>
        <w:tc>
          <w:tcPr>
            <w:tcW w:type="dxa" w:w="3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Confirmed legitimate re-authentication from user’s Cox IP (70.168.253.125)</w:t>
            </w:r>
          </w:p>
        </w:tc>
        <w:tc>
          <w:tcPr>
            <w:tcW w:type="dxa" w:w="3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w:t>
            </w:r>
          </w:p>
        </w:tc>
      </w:tr>
    </w:tbl>
    <w:p>
      <w:pPr>
        <w:pStyle w:val="Heading2"/>
        <w:keepNext/>
        <w:spacing w:after="80" w:before="180"/>
      </w:pPr>
      <w:r>
        <w:rPr>
          <w:rFonts w:ascii="Calibri" w:cs="Calibri" w:eastAsia="Calibri" w:hAnsi="Calibri"/>
          <w:b/>
          <w:bCs/>
          <w:color w:val="2F5496"/>
          <w:sz w:val="24"/>
          <w:szCs w:val="24"/>
        </w:rPr>
        <w:t xml:space="preserve">10.4 Post-Remediation Verification</w:t>
      </w:r>
    </w:p>
    <w:p>
      <w:pPr>
        <w:spacing w:after="120" w:before="0" w:line="264"/>
      </w:pPr>
      <w:r>
        <w:rPr>
          <w:rFonts w:ascii="Calibri" w:cs="Calibri" w:eastAsia="Calibri" w:hAnsi="Calibri"/>
          <w:b w:val="false"/>
          <w:bCs w:val="false"/>
          <w:i w:val="false"/>
          <w:iCs w:val="false"/>
          <w:color w:val="1A1A1A"/>
          <w:sz w:val="22"/>
          <w:szCs w:val="22"/>
        </w:rPr>
        <w:t xml:space="preserve">A post-remediation review confirmed no residual persistence (rules, forwarding, delegates, OAuth grants) and no outbound mail from the account. Legitimate sign-ins from the user’s known IP re-appeared after the reset, and no further threat-actor sessions succeeded.</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11. Recommendations</w:t>
      </w:r>
    </w:p>
    <w:p>
      <w:pPr>
        <w:pStyle w:val="Heading2"/>
        <w:keepNext/>
        <w:spacing w:after="80" w:before="180"/>
      </w:pPr>
      <w:r>
        <w:rPr>
          <w:rFonts w:ascii="Calibri" w:cs="Calibri" w:eastAsia="Calibri" w:hAnsi="Calibri"/>
          <w:b/>
          <w:bCs/>
          <w:color w:val="2F5496"/>
          <w:sz w:val="24"/>
          <w:szCs w:val="24"/>
        </w:rPr>
        <w:t xml:space="preserve">11.1 Immediate (within 7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Confirm session/token revocation held for the affected account and that MFA was re-enrolled on a trusted device.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Disable SMTP AUTH for any account without a documented business need to blunt the active brute-force campaign.</w:t>
      </w:r>
    </w:p>
    <w:p>
      <w:pPr>
        <w:pStyle w:val="Heading2"/>
        <w:keepNext/>
        <w:spacing w:after="80" w:before="180"/>
      </w:pPr>
      <w:r>
        <w:rPr>
          <w:rFonts w:ascii="Calibri" w:cs="Calibri" w:eastAsia="Calibri" w:hAnsi="Calibri"/>
          <w:b/>
          <w:bCs/>
          <w:color w:val="2F5496"/>
          <w:sz w:val="24"/>
          <w:szCs w:val="24"/>
        </w:rPr>
        <w:t xml:space="preserve">11.2 Short-Term (within 30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Deploy Conditional Access in enforce mode to block legacy authentication tenant-wide and to challenge sign-ins from anonymizer/hosting ASNs and atypical geographies.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Enable alerting on inbox-rule creation and on high-volume SMTP authentication failures.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Confirm mailbox auditing is enabled on all mailboxes to the extent the licensing tier allows.</w:t>
      </w:r>
    </w:p>
    <w:p>
      <w:pPr>
        <w:pStyle w:val="Heading2"/>
        <w:keepNext/>
        <w:spacing w:after="80" w:before="180"/>
      </w:pPr>
      <w:r>
        <w:rPr>
          <w:rFonts w:ascii="Calibri" w:cs="Calibri" w:eastAsia="Calibri" w:hAnsi="Calibri"/>
          <w:b/>
          <w:bCs/>
          <w:color w:val="2F5496"/>
          <w:sz w:val="24"/>
          <w:szCs w:val="24"/>
        </w:rPr>
        <w:t xml:space="preserve">11.3 Medium-Term (within 90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Roll out phishing-resistant MFA (FIDO2 security keys) starting with privileged and finance users.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Evaluate a licensing upgrade that provides MailItemsAccessed logging to support future data-exposure determinations.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Implement token protection (token binding) via Conditional Access where supported.</w:t>
      </w:r>
    </w:p>
    <w:p>
      <w:pPr>
        <w:pStyle w:val="Heading2"/>
        <w:keepNext/>
        <w:spacing w:after="80" w:before="180"/>
      </w:pPr>
      <w:r>
        <w:rPr>
          <w:rFonts w:ascii="Calibri" w:cs="Calibri" w:eastAsia="Calibri" w:hAnsi="Calibri"/>
          <w:b/>
          <w:bCs/>
          <w:color w:val="2F5496"/>
          <w:sz w:val="24"/>
          <w:szCs w:val="24"/>
        </w:rPr>
        <w:t xml:space="preserve">11.4 Strategic (longer-term posture)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Institute annual BEC-specific and AiTM-aware security awareness training.</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Establish quarterly review of Conditional Access policies and privileged roles.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Consider a co-managed SIEM or managed detection service to provide continuous sign-in monitoring.</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12. Lessons Learned</w:t>
      </w:r>
    </w:p>
    <w:p>
      <w:pPr>
        <w:pStyle w:val="Heading2"/>
        <w:keepNext/>
        <w:spacing w:after="80" w:before="180"/>
      </w:pPr>
      <w:r>
        <w:rPr>
          <w:rFonts w:ascii="Calibri" w:cs="Calibri" w:eastAsia="Calibri" w:hAnsi="Calibri"/>
          <w:b/>
          <w:bCs/>
          <w:color w:val="2F5496"/>
          <w:sz w:val="24"/>
          <w:szCs w:val="24"/>
        </w:rPr>
        <w:t xml:space="preserve">12.1 What Worked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Unusual sign-in activity was acted upon quickly, holding the authenticated window to roughly five minutes.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Disabling the account, then resetting credentials and revoking tokens, followed correct containment ordering.</w:t>
      </w:r>
    </w:p>
    <w:p>
      <w:pPr>
        <w:pStyle w:val="Heading2"/>
        <w:keepNext/>
        <w:spacing w:after="80" w:before="180"/>
      </w:pPr>
      <w:r>
        <w:rPr>
          <w:rFonts w:ascii="Calibri" w:cs="Calibri" w:eastAsia="Calibri" w:hAnsi="Calibri"/>
          <w:b/>
          <w:bCs/>
          <w:color w:val="2F5496"/>
          <w:sz w:val="24"/>
          <w:szCs w:val="24"/>
        </w:rPr>
        <w:t xml:space="preserve">12.2 What Did Not Work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Detection was manual; automated alerting would likely have caught the anonymizer sign-in sooner.</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concurrent SMTP brute-force campaign had gone unremarked prior to this review.</w:t>
      </w:r>
    </w:p>
    <w:p>
      <w:pPr>
        <w:pStyle w:val="Heading2"/>
        <w:keepNext/>
        <w:spacing w:after="80" w:before="180"/>
      </w:pPr>
      <w:r>
        <w:rPr>
          <w:rFonts w:ascii="Calibri" w:cs="Calibri" w:eastAsia="Calibri" w:hAnsi="Calibri"/>
          <w:b/>
          <w:bCs/>
          <w:color w:val="2F5496"/>
          <w:sz w:val="24"/>
          <w:szCs w:val="24"/>
        </w:rPr>
        <w:t xml:space="preserve">12.3 Process Improvements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Introduce automated alerting for anonymizer/impossible-travel sign-ins and SMTP authentication-failure spikes.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Prioritize the legacy-authentication hardening that removes the brute-force surface entirely.</w:t>
      </w:r>
    </w:p>
    <w:p>
      <w:pPr>
        <w:spacing w:after="120" w:before="60" w:line="264"/>
      </w:pPr>
      <w:r>
        <w:rPr>
          <w:rFonts w:ascii="Calibri" w:cs="Calibri" w:eastAsia="Calibri" w:hAnsi="Calibri"/>
          <w:b w:val="false"/>
          <w:bCs w:val="false"/>
          <w:i/>
          <w:iCs/>
          <w:color w:val="666666"/>
          <w:sz w:val="20"/>
          <w:szCs w:val="20"/>
        </w:rPr>
        <w:t xml:space="preserve">A deeper internal review of the response is captured in the separate internal post-mortem; this section is the client-facing summary.</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13. Appendices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A: Full sign-in events from threat-actor IP addresses.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B: MailItemsAccessed / Unified Audit Log export for affected users.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C: Screenshots of malicious inbox rules. [Screenshot: inbox rule configuration]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D: Full IOC list in machine-readable format (CSV).</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E: Raw script outputs relevant to key findings.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F: User interview notes.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G: Copies of communications with affected third parties.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Report Control</w:t>
      </w:r>
    </w:p>
    <w:p>
      <w:pPr>
        <w:pStyle w:val="Heading2"/>
        <w:keepNext/>
        <w:spacing w:after="80" w:before="180"/>
      </w:pPr>
      <w:r>
        <w:rPr>
          <w:rFonts w:ascii="Calibri" w:cs="Calibri" w:eastAsia="Calibri" w:hAnsi="Calibri"/>
          <w:b/>
          <w:bCs/>
          <w:color w:val="2F5496"/>
          <w:sz w:val="24"/>
          <w:szCs w:val="24"/>
        </w:rPr>
        <w:t xml:space="preserve">Revision History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2200"/>
        <w:gridCol w:w="2600"/>
        <w:gridCol w:w="3480"/>
      </w:tblGrid>
      <w:tr>
        <w:trPr>
          <w:tblHeader/>
        </w:trPr>
        <w:tc>
          <w:tcPr>
            <w:tcW w:type="dxa" w:w="1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Version</w:t>
            </w:r>
          </w:p>
        </w:tc>
        <w:tc>
          <w:tcPr>
            <w:tcW w:type="dxa" w:w="2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Author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Change Summary</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0.1</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31, 2025</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Initial draft from investigation findings.</w:t>
            </w:r>
          </w:p>
        </w:tc>
      </w:tr>
      <w:tr>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0.2</w:t>
            </w:r>
          </w:p>
        </w:tc>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31, 2025</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[Reviewer]</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 review revisions.</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31, 2025</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Final, delivered to client.</w:t>
            </w:r>
          </w:p>
        </w:tc>
      </w:tr>
    </w:tbl>
    <w:p>
      <w:pPr>
        <w:pStyle w:val="Heading2"/>
        <w:keepNext/>
        <w:spacing w:after="80" w:before="180"/>
      </w:pPr>
      <w:r>
        <w:rPr>
          <w:rFonts w:ascii="Calibri" w:cs="Calibri" w:eastAsia="Calibri" w:hAnsi="Calibri"/>
          <w:b/>
          <w:bCs/>
          <w:color w:val="2F5496"/>
          <w:sz w:val="24"/>
          <w:szCs w:val="24"/>
        </w:rPr>
        <w:t xml:space="preserve">Approval and Delivery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000"/>
        <w:gridCol w:w="3200"/>
        <w:gridCol w:w="2000"/>
        <w:gridCol w:w="2480"/>
      </w:tblGrid>
      <w:tr>
        <w:trPr>
          <w:tblHeader/>
        </w:trPr>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Role</w:t>
            </w:r>
          </w:p>
        </w:tc>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Name / Title</w:t>
            </w:r>
          </w:p>
        </w:tc>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Method</w:t>
            </w:r>
          </w:p>
        </w:tc>
      </w:tr>
      <w:tr>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Prepared By</w:t>
            </w:r>
          </w:p>
        </w:tc>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31, 2025</w:t>
            </w:r>
          </w:p>
        </w:tc>
        <w:tc>
          <w:tcPr>
            <w:tcW w:type="dxa" w:w="2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N/A</w:t>
            </w:r>
          </w:p>
        </w:tc>
      </w:tr>
      <w:tr>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Reviewed By</w:t>
            </w:r>
          </w:p>
        </w:tc>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[Reviewer Name, Title]</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31, 2025</w:t>
            </w:r>
          </w:p>
        </w:tc>
        <w:tc>
          <w:tcPr>
            <w:tcW w:type="dxa" w:w="2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w:t>
            </w:r>
          </w:p>
        </w:tc>
      </w:tr>
      <w:tr>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Approved By</w:t>
            </w:r>
          </w:p>
        </w:tc>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[Approver Name, Title]</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31, 2025</w:t>
            </w:r>
          </w:p>
        </w:tc>
        <w:tc>
          <w:tcPr>
            <w:tcW w:type="dxa" w:w="2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w:t>
            </w:r>
          </w:p>
        </w:tc>
      </w:tr>
      <w:tr>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Delivered To</w:t>
            </w:r>
          </w:p>
        </w:tc>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[Recipient Name, Title]</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October 31, 2025</w:t>
            </w:r>
          </w:p>
        </w:tc>
        <w:tc>
          <w:tcPr>
            <w:tcW w:type="dxa" w:w="2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[Secure delivery]</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CONFIDENTIAL · ACME, ltd. · BEC-2025-1030</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ACME, ltd. Investigation Report</dc:title>
  <dc:creator>[Your Organization]</dc:creator>
  <cp:lastModifiedBy>Un-named</cp:lastModifiedBy>
  <cp:revision>1</cp:revision>
  <dcterms:created xsi:type="dcterms:W3CDTF">2026-07-31T07:35:15.892Z</dcterms:created>
  <dcterms:modified xsi:type="dcterms:W3CDTF">2026-07-31T07:35:15.893Z</dcterms:modified>
</cp:coreProperties>
</file>

<file path=docProps/custom.xml><?xml version="1.0" encoding="utf-8"?>
<Properties xmlns="http://schemas.openxmlformats.org/officeDocument/2006/custom-properties" xmlns:vt="http://schemas.openxmlformats.org/officeDocument/2006/docPropsVTypes"/>
</file>