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i/>
          <w:iCs/>
          <w:color w:val="666666"/>
          <w:sz w:val="20"/>
          <w:szCs w:val="20"/>
        </w:rPr>
        <w:t xml:space="preserve">[LOGO]</w:t>
      </w:r>
    </w:p>
    <w:p>
      <w:pPr>
        <w:spacing w:after="80"/>
      </w:pPr>
      <w:r>
        <w:rPr>
          <w:rFonts w:ascii="Calibri" w:cs="Calibri" w:eastAsia="Calibri" w:hAnsi="Calibri"/>
          <w:b/>
          <w:bCs/>
          <w:color w:val="2F5496"/>
          <w:sz w:val="36"/>
          <w:szCs w:val="36"/>
        </w:rPr>
        <w:t xml:space="preserve">Security Incident Report (BEC-2025-1030)</w:t>
      </w:r>
    </w:p>
    <w:p>
      <w:pPr>
        <w:spacing w:after="120"/>
      </w:pPr>
      <w:r>
        <w:rPr>
          <w:rFonts w:ascii="Calibri" w:cs="Calibri" w:eastAsia="Calibri" w:hAnsi="Calibri"/>
          <w:b/>
          <w:bCs/>
          <w:color w:val="1A1A1A"/>
          <w:sz w:val="22"/>
          <w:szCs w:val="22"/>
        </w:rPr>
        <w:t xml:space="preserve">ACME, ltd.</w:t>
      </w:r>
    </w:p>
    <w:p>
      <w:pPr>
        <w:spacing w:after="120"/>
      </w:pPr>
      <w:r>
        <w:rPr>
          <w:rFonts w:ascii="Calibri" w:cs="Calibri" w:eastAsia="Calibri" w:hAnsi="Calibri"/>
          <w:b/>
          <w:bCs/>
          <w:color w:val="1A1A1A"/>
          <w:sz w:val="22"/>
          <w:szCs w:val="22"/>
        </w:rPr>
        <w:t xml:space="preserve">Report Date: </w:t>
      </w:r>
      <w:r>
        <w:rPr>
          <w:rFonts w:ascii="Calibri" w:cs="Calibri" w:eastAsia="Calibri" w:hAnsi="Calibri"/>
          <w:color w:val="1A1A1A"/>
          <w:sz w:val="22"/>
          <w:szCs w:val="22"/>
        </w:rPr>
        <w:t xml:space="preserve">October 31, 2025</w:t>
      </w:r>
    </w:p>
    <w:p>
      <w:pPr>
        <w:spacing w:after="120" w:before="240"/>
      </w:pPr>
      <w:r>
        <w:rPr>
          <w:rFonts w:ascii="Calibri" w:cs="Calibri" w:eastAsia="Calibri" w:hAnsi="Calibri"/>
          <w:b/>
          <w:bCs/>
          <w:color w:val="2F5496"/>
          <w:sz w:val="28"/>
          <w:szCs w:val="28"/>
        </w:rPr>
        <w:t xml:space="preserve">Executive Summary</w:t>
      </w:r>
    </w:p>
    <w:p>
      <w:pPr>
        <w:spacing w:after="120"/>
      </w:pPr>
      <w:r>
        <w:rPr>
          <w:rFonts w:ascii="Calibri" w:cs="Calibri" w:eastAsia="Calibri" w:hAnsi="Calibri"/>
          <w:b/>
          <w:bCs/>
          <w:color w:val="1A1A1A"/>
          <w:sz w:val="22"/>
          <w:szCs w:val="22"/>
        </w:rPr>
        <w:t xml:space="preserve">On October 30, 2025, at approximately 23:17 UTC, </w:t>
      </w:r>
      <w:r>
        <w:rPr>
          <w:rFonts w:ascii="Calibri" w:cs="Calibri" w:eastAsia="Calibri" w:hAnsi="Calibri"/>
          <w:color w:val="1A1A1A"/>
          <w:sz w:val="22"/>
          <w:szCs w:val="22"/>
        </w:rPr>
        <w:t xml:space="preserve">an unauthorized party gained access to the Microsoft 365 account belonging to “victoria1.heather3@acme.com.” The compromise originated from an automated phishing portal that harvested the user’s credentials and session tokens. Within minutes of the initial access, sign-ins were observed from an IPv6 address (2c0f:2a80:14:7ea2:7c04:99ad:8833:1a1) geolocating to Garrison 2, West Province 4, Nigeria, followed by additional sessions routed through M247 Europe SRL, a hosting and VPN provider commonly associated with anonymization infrastructure.</w:t>
      </w:r>
    </w:p>
    <w:p>
      <w:pPr>
        <w:spacing w:after="120"/>
      </w:pPr>
      <w:r>
        <w:rPr>
          <w:rFonts w:ascii="Calibri" w:cs="Calibri" w:eastAsia="Calibri" w:hAnsi="Calibri"/>
          <w:color w:val="1A1A1A"/>
          <w:sz w:val="22"/>
          <w:szCs w:val="22"/>
        </w:rPr>
        <w:t xml:space="preserve">The threat actor accessed OfficeHome and One Outlook Web from the Nigerian IP using Edge 140 on Windows 10, suggesting a browser-based session consistent with adversary-in-the-middle (AiTM) phishing kit behavior. Simultaneously, multiple sign-ins were recorded from three distinct M247 IPv6 addresses (2a0d:5600:8:29a8:..., 2a0d:5600:8:9bbc:..., 2a0d:5600:8:c8d0:...) with no identifiable browser or operating system, and Scamalytics fraud scores of 69/100. These sessions accessed OfficeHome and exhibited “Keep me signed in” interrupt patterns consistent with automated token replay. Unusual sign-in activity was detected and the account was disabled at approximately 23:22 UTC, limiting the threat actor’s authenticated session to roughly five minutes.</w:t>
      </w:r>
    </w:p>
    <w:p>
      <w:pPr>
        <w:spacing w:after="120" w:before="240"/>
      </w:pPr>
      <w:r>
        <w:rPr>
          <w:rFonts w:ascii="Calibri" w:cs="Calibri" w:eastAsia="Calibri" w:hAnsi="Calibri"/>
          <w:b/>
          <w:bCs/>
          <w:color w:val="2F5496"/>
          <w:sz w:val="28"/>
          <w:szCs w:val="28"/>
        </w:rPr>
        <w:t xml:space="preserve">Status:</w:t>
      </w:r>
      <w:r>
        <w:rPr>
          <w:rFonts w:ascii="Calibri" w:cs="Calibri" w:eastAsia="Calibri" w:hAnsi="Calibri"/>
          <w:b/>
          <w:bCs/>
          <w:color w:val="1A1A1A"/>
          <w:sz w:val="22"/>
          <w:szCs w:val="22"/>
        </w:rPr>
        <w:t xml:space="preserve"> Affected account identified and remediated; no secondary compromise indicators found.</w:t>
      </w:r>
    </w:p>
    <w:p>
      <w:pPr>
        <w:pStyle w:val="ListParagraph"/>
        <w:numPr>
          <w:ilvl w:val="0"/>
          <w:numId w:val="2"/>
        </w:numPr>
        <w:spacing w:after="60"/>
      </w:pPr>
      <w:r>
        <w:rPr>
          <w:rFonts w:ascii="Calibri" w:cs="Calibri" w:eastAsia="Calibri" w:hAnsi="Calibri"/>
          <w:color w:val="1A1A1A"/>
          <w:sz w:val="22"/>
          <w:szCs w:val="22"/>
        </w:rPr>
        <w:t xml:space="preserve">The compromised account “victoria1.heather3@acme.com” was disabled promptly upon detection.</w:t>
      </w:r>
    </w:p>
    <w:p>
      <w:pPr>
        <w:pStyle w:val="ListParagraph"/>
        <w:numPr>
          <w:ilvl w:val="0"/>
          <w:numId w:val="2"/>
        </w:numPr>
        <w:spacing w:after="60"/>
      </w:pPr>
      <w:r>
        <w:rPr>
          <w:rFonts w:ascii="Calibri" w:cs="Calibri" w:eastAsia="Calibri" w:hAnsi="Calibri"/>
          <w:color w:val="1A1A1A"/>
          <w:sz w:val="22"/>
          <w:szCs w:val="22"/>
        </w:rPr>
        <w:t xml:space="preserve">The user’s password was reset and all active sessions and refresh tokens were revoked.</w:t>
      </w:r>
    </w:p>
    <w:p>
      <w:pPr>
        <w:pStyle w:val="ListParagraph"/>
        <w:numPr>
          <w:ilvl w:val="0"/>
          <w:numId w:val="2"/>
        </w:numPr>
        <w:spacing w:after="60"/>
      </w:pPr>
      <w:r>
        <w:rPr>
          <w:rFonts w:ascii="Calibri" w:cs="Calibri" w:eastAsia="Calibri" w:hAnsi="Calibri"/>
          <w:color w:val="1A1A1A"/>
          <w:sz w:val="22"/>
          <w:szCs w:val="22"/>
        </w:rPr>
        <w:t xml:space="preserve">No unauthorized inbox rules, mail-forwarding configurations, or delegated access grants were identified.</w:t>
      </w:r>
    </w:p>
    <w:p>
      <w:pPr>
        <w:pStyle w:val="ListParagraph"/>
        <w:numPr>
          <w:ilvl w:val="0"/>
          <w:numId w:val="2"/>
        </w:numPr>
        <w:spacing w:after="60"/>
      </w:pPr>
      <w:r>
        <w:rPr>
          <w:rFonts w:ascii="Calibri" w:cs="Calibri" w:eastAsia="Calibri" w:hAnsi="Calibri"/>
          <w:color w:val="1A1A1A"/>
          <w:sz w:val="22"/>
          <w:szCs w:val="22"/>
        </w:rPr>
        <w:t xml:space="preserve">No outbound phishing or spam activity was observed originating from the account.</w:t>
      </w:r>
    </w:p>
    <w:p>
      <w:pPr>
        <w:pStyle w:val="ListParagraph"/>
        <w:numPr>
          <w:ilvl w:val="0"/>
          <w:numId w:val="2"/>
        </w:numPr>
        <w:spacing w:after="60"/>
      </w:pPr>
      <w:r>
        <w:rPr>
          <w:rFonts w:ascii="Calibri" w:cs="Calibri" w:eastAsia="Calibri" w:hAnsi="Calibri"/>
          <w:color w:val="1A1A1A"/>
          <w:sz w:val="22"/>
          <w:szCs w:val="22"/>
        </w:rPr>
        <w:t xml:space="preserve">Post-incident sign-ins from the user’s legitimate IP (70.168.253.125, Cox Communications, Bridgeport, East Province 2) confirmed successful re-authentication under the reset credentials.</w:t>
      </w:r>
    </w:p>
    <w:p>
      <w:pPr>
        <w:spacing w:after="120" w:before="240"/>
      </w:pPr>
      <w:r>
        <w:rPr>
          <w:rFonts w:ascii="Calibri" w:cs="Calibri" w:eastAsia="Calibri" w:hAnsi="Calibri"/>
          <w:b/>
          <w:bCs/>
          <w:color w:val="2F5496"/>
          <w:sz w:val="28"/>
          <w:szCs w:val="28"/>
        </w:rPr>
        <w:t xml:space="preserve">Impact:</w:t>
      </w:r>
      <w:r>
        <w:rPr>
          <w:rFonts w:ascii="Calibri" w:cs="Calibri" w:eastAsia="Calibri" w:hAnsi="Calibri"/>
          <w:b/>
          <w:bCs/>
          <w:color w:val="1A1A1A"/>
          <w:sz w:val="22"/>
          <w:szCs w:val="22"/>
        </w:rPr>
        <w:t xml:space="preserve"> No confirmed data exfiltration, financial loss, or lateral movement.</w:t>
      </w:r>
    </w:p>
    <w:p>
      <w:pPr>
        <w:pStyle w:val="ListParagraph"/>
        <w:numPr>
          <w:ilvl w:val="0"/>
          <w:numId w:val="2"/>
        </w:numPr>
        <w:spacing w:after="60"/>
      </w:pPr>
      <w:r>
        <w:rPr>
          <w:rFonts w:ascii="Calibri" w:cs="Calibri" w:eastAsia="Calibri" w:hAnsi="Calibri"/>
          <w:color w:val="1A1A1A"/>
          <w:sz w:val="22"/>
          <w:szCs w:val="22"/>
        </w:rPr>
        <w:t xml:space="preserve">Threat actor access was limited to OfficeHome and One Outlook Web for approximately five minutes before the account was disabled.</w:t>
      </w:r>
    </w:p>
    <w:p>
      <w:pPr>
        <w:pStyle w:val="ListParagraph"/>
        <w:numPr>
          <w:ilvl w:val="0"/>
          <w:numId w:val="2"/>
        </w:numPr>
        <w:spacing w:after="60"/>
      </w:pPr>
      <w:r>
        <w:rPr>
          <w:rFonts w:ascii="Calibri" w:cs="Calibri" w:eastAsia="Calibri" w:hAnsi="Calibri"/>
          <w:color w:val="1A1A1A"/>
          <w:sz w:val="22"/>
          <w:szCs w:val="22"/>
        </w:rPr>
        <w:t xml:space="preserve">No evidence of email forwarding, mailbox data export, or access to SharePoint/OneDrive resources by the threat actor was identified during the review period.</w:t>
      </w:r>
    </w:p>
    <w:p>
      <w:pPr>
        <w:pStyle w:val="ListParagraph"/>
        <w:numPr>
          <w:ilvl w:val="0"/>
          <w:numId w:val="2"/>
        </w:numPr>
        <w:spacing w:after="60"/>
      </w:pPr>
      <w:r>
        <w:rPr>
          <w:rFonts w:ascii="Calibri" w:cs="Calibri" w:eastAsia="Calibri" w:hAnsi="Calibri"/>
          <w:color w:val="1A1A1A"/>
          <w:sz w:val="22"/>
          <w:szCs w:val="22"/>
        </w:rPr>
        <w:t xml:space="preserve">No secondary accounts were compromised.</w:t>
      </w:r>
    </w:p>
    <w:p>
      <w:pPr>
        <w:spacing w:after="120" w:before="240"/>
      </w:pPr>
      <w:r>
        <w:rPr>
          <w:rFonts w:ascii="Calibri" w:cs="Calibri" w:eastAsia="Calibri" w:hAnsi="Calibri"/>
          <w:b/>
          <w:bCs/>
          <w:color w:val="2F5496"/>
          <w:sz w:val="28"/>
          <w:szCs w:val="28"/>
        </w:rPr>
        <w:t xml:space="preserve">Actions Performed:</w:t>
      </w:r>
    </w:p>
    <w:p>
      <w:pPr>
        <w:pStyle w:val="ListParagraph"/>
        <w:numPr>
          <w:ilvl w:val="0"/>
          <w:numId w:val="2"/>
        </w:numPr>
        <w:spacing w:after="60"/>
      </w:pPr>
      <w:r>
        <w:rPr>
          <w:rFonts w:ascii="Calibri" w:cs="Calibri" w:eastAsia="Calibri" w:hAnsi="Calibri"/>
          <w:color w:val="1A1A1A"/>
          <w:sz w:val="22"/>
          <w:szCs w:val="22"/>
        </w:rPr>
        <w:t xml:space="preserve">Disabled the compromised user account to terminate all active sessions.</w:t>
      </w:r>
    </w:p>
    <w:p>
      <w:pPr>
        <w:pStyle w:val="ListParagraph"/>
        <w:numPr>
          <w:ilvl w:val="0"/>
          <w:numId w:val="2"/>
        </w:numPr>
        <w:spacing w:after="60"/>
      </w:pPr>
      <w:r>
        <w:rPr>
          <w:rFonts w:ascii="Calibri" w:cs="Calibri" w:eastAsia="Calibri" w:hAnsi="Calibri"/>
          <w:color w:val="1A1A1A"/>
          <w:sz w:val="22"/>
          <w:szCs w:val="22"/>
        </w:rPr>
        <w:t xml:space="preserve">Reset the user’s password and revoked all OAuth/refresh tokens.</w:t>
      </w:r>
    </w:p>
    <w:p>
      <w:pPr>
        <w:pStyle w:val="ListParagraph"/>
        <w:numPr>
          <w:ilvl w:val="0"/>
          <w:numId w:val="2"/>
        </w:numPr>
        <w:spacing w:after="60"/>
      </w:pPr>
      <w:r>
        <w:rPr>
          <w:rFonts w:ascii="Calibri" w:cs="Calibri" w:eastAsia="Calibri" w:hAnsi="Calibri"/>
          <w:color w:val="1A1A1A"/>
          <w:sz w:val="22"/>
          <w:szCs w:val="22"/>
        </w:rPr>
        <w:t xml:space="preserve">Reviewed inbox rules and mail-forwarding settings; none were malicious.</w:t>
      </w:r>
    </w:p>
    <w:p>
      <w:pPr>
        <w:pStyle w:val="ListParagraph"/>
        <w:numPr>
          <w:ilvl w:val="0"/>
          <w:numId w:val="2"/>
        </w:numPr>
        <w:spacing w:after="60"/>
      </w:pPr>
      <w:r>
        <w:rPr>
          <w:rFonts w:ascii="Calibri" w:cs="Calibri" w:eastAsia="Calibri" w:hAnsi="Calibri"/>
          <w:color w:val="1A1A1A"/>
          <w:sz w:val="22"/>
          <w:szCs w:val="22"/>
        </w:rPr>
        <w:t xml:space="preserve">Audited the Entra ID sign-in logs for the period October 24 through November 1, 2025 (13,294 sign-in events across the tenant).</w:t>
      </w:r>
    </w:p>
    <w:p>
      <w:pPr>
        <w:pStyle w:val="ListParagraph"/>
        <w:numPr>
          <w:ilvl w:val="0"/>
          <w:numId w:val="2"/>
        </w:numPr>
        <w:spacing w:after="60"/>
      </w:pPr>
      <w:r>
        <w:rPr>
          <w:rFonts w:ascii="Calibri" w:cs="Calibri" w:eastAsia="Calibri" w:hAnsi="Calibri"/>
          <w:color w:val="1A1A1A"/>
          <w:sz w:val="22"/>
          <w:szCs w:val="22"/>
        </w:rPr>
        <w:t xml:space="preserve">Verified no outbound spam or phishing originated from the compromised account.</w:t>
      </w:r>
    </w:p>
    <w:p>
      <w:pPr>
        <w:pStyle w:val="ListParagraph"/>
        <w:numPr>
          <w:ilvl w:val="0"/>
          <w:numId w:val="2"/>
        </w:numPr>
        <w:spacing w:after="60"/>
      </w:pPr>
      <w:r>
        <w:rPr>
          <w:rFonts w:ascii="Calibri" w:cs="Calibri" w:eastAsia="Calibri" w:hAnsi="Calibri"/>
          <w:color w:val="1A1A1A"/>
          <w:sz w:val="22"/>
          <w:szCs w:val="22"/>
        </w:rPr>
        <w:t xml:space="preserve">Re-enabled the account after credential reset and MFA re-enrollment.</w:t>
      </w:r>
    </w:p>
    <w:p>
      <w:pPr>
        <w:spacing w:after="120" w:before="240"/>
      </w:pPr>
      <w:r>
        <w:rPr>
          <w:rFonts w:ascii="Calibri" w:cs="Calibri" w:eastAsia="Calibri" w:hAnsi="Calibri"/>
          <w:b/>
          <w:bCs/>
          <w:color w:val="2F5496"/>
          <w:sz w:val="28"/>
          <w:szCs w:val="28"/>
        </w:rPr>
        <w:t xml:space="preserve">Additional Observation: SMTP Brute-Force Activity</w:t>
      </w:r>
    </w:p>
    <w:p>
      <w:pPr>
        <w:spacing w:after="120"/>
      </w:pPr>
      <w:r>
        <w:rPr>
          <w:rFonts w:ascii="Calibri" w:cs="Calibri" w:eastAsia="Calibri" w:hAnsi="Calibri"/>
          <w:color w:val="1A1A1A"/>
          <w:sz w:val="22"/>
          <w:szCs w:val="22"/>
        </w:rPr>
        <w:t xml:space="preserve">During the review of tenant-wide sign-in logs, [Your Organization] identified an ongoing, high-volume brute-force campaign targeting the SMTP authentication endpoint. A total of 10,967 failed SMTP sign-in attempts were recorded across the review period, targeting at least 10 user accounts. The top-targeted accounts included “catherine.deborah@acme.com” (2,720 attempts), “joan.heather4@acme.com” (2,695 attempts), and “brenda.ward@acme.com” (1,820 attempts). All 10,967 attempts failed with invalid-credential errors.</w:t>
      </w:r>
    </w:p>
    <w:p>
      <w:pPr>
        <w:spacing w:after="120"/>
      </w:pPr>
      <w:r>
        <w:rPr>
          <w:rFonts w:ascii="Calibri" w:cs="Calibri" w:eastAsia="Calibri" w:hAnsi="Calibri"/>
          <w:color w:val="1A1A1A"/>
          <w:sz w:val="22"/>
          <w:szCs w:val="22"/>
        </w:rPr>
        <w:t xml:space="preserve">The attack traffic originated from 91 unique source IP addresses, with the highest volume from 213.209.157.149 and 213.209.157.159 (Net Gate Telecom, Augsburg, DE), 91.199.166.218 (Travchis LLC, Riga, LV), and 165.154.217.62 (Scloud Pte Ltd, Dubai, AE). No successful authentications occurred via SMTP during the review period. This activity is separate from the account compromise described above but represents an ongoing risk to the tenant.</w:t>
      </w:r>
    </w:p>
    <w:p>
      <w:pPr>
        <w:spacing w:after="120" w:before="240"/>
      </w:pPr>
      <w:r>
        <w:rPr>
          <w:rFonts w:ascii="Calibri" w:cs="Calibri" w:eastAsia="Calibri" w:hAnsi="Calibri"/>
          <w:b/>
          <w:bCs/>
          <w:color w:val="2F5496"/>
          <w:sz w:val="28"/>
          <w:szCs w:val="28"/>
        </w:rPr>
        <w:t xml:space="preserve">Recommendations</w:t>
      </w:r>
    </w:p>
    <w:p>
      <w:pPr>
        <w:pStyle w:val="ListParagraph"/>
        <w:numPr>
          <w:ilvl w:val="0"/>
          <w:numId w:val="2"/>
        </w:numPr>
        <w:spacing w:after="60" w:before="120"/>
      </w:pPr>
      <w:r>
        <w:rPr>
          <w:rFonts w:ascii="Calibri" w:cs="Calibri" w:eastAsia="Calibri" w:hAnsi="Calibri"/>
          <w:b/>
          <w:bCs/>
          <w:color w:val="1A1A1A"/>
          <w:sz w:val="22"/>
          <w:szCs w:val="22"/>
        </w:rPr>
        <w:t xml:space="preserve">Identity &amp; Access</w:t>
      </w:r>
    </w:p>
    <w:p>
      <w:pPr>
        <w:pStyle w:val="ListParagraph"/>
        <w:numPr>
          <w:ilvl w:val="1"/>
          <w:numId w:val="2"/>
        </w:numPr>
        <w:spacing w:after="60"/>
      </w:pPr>
      <w:r>
        <w:rPr>
          <w:rFonts w:ascii="Calibri" w:cs="Calibri" w:eastAsia="Calibri" w:hAnsi="Calibri"/>
          <w:color w:val="1A1A1A"/>
          <w:sz w:val="22"/>
          <w:szCs w:val="22"/>
        </w:rPr>
        <w:t xml:space="preserve">Enforce phishing-resistant MFA (FIDO2 security keys or certificate-based authentication) for all users to mitigate AiTM phishing attacks that bypass traditional MFA.</w:t>
      </w:r>
    </w:p>
    <w:p>
      <w:pPr>
        <w:pStyle w:val="ListParagraph"/>
        <w:numPr>
          <w:ilvl w:val="1"/>
          <w:numId w:val="2"/>
        </w:numPr>
        <w:spacing w:after="60"/>
      </w:pPr>
      <w:r>
        <w:rPr>
          <w:rFonts w:ascii="Calibri" w:cs="Calibri" w:eastAsia="Calibri" w:hAnsi="Calibri"/>
          <w:color w:val="1A1A1A"/>
          <w:sz w:val="22"/>
          <w:szCs w:val="22"/>
        </w:rPr>
        <w:t xml:space="preserve">Implement Conditional Access policies requiring compliant/managed devices and restricting sign-ins from anonymizing infrastructure and high-risk geolocations.</w:t>
      </w:r>
    </w:p>
    <w:p>
      <w:pPr>
        <w:pStyle w:val="ListParagraph"/>
        <w:numPr>
          <w:ilvl w:val="1"/>
          <w:numId w:val="2"/>
        </w:numPr>
        <w:spacing w:after="60"/>
      </w:pPr>
      <w:r>
        <w:rPr>
          <w:rFonts w:ascii="Calibri" w:cs="Calibri" w:eastAsia="Calibri" w:hAnsi="Calibri"/>
          <w:color w:val="1A1A1A"/>
          <w:sz w:val="22"/>
          <w:szCs w:val="22"/>
        </w:rPr>
        <w:t xml:space="preserve">Disable legacy authentication protocols (SMTP AUTH, IMAP, POP3) tenant-wide via authentication policy or Conditional Access to eliminate the brute-force attack surface.</w:t>
      </w:r>
    </w:p>
    <w:p>
      <w:pPr>
        <w:pStyle w:val="ListParagraph"/>
        <w:numPr>
          <w:ilvl w:val="1"/>
          <w:numId w:val="2"/>
        </w:numPr>
        <w:spacing w:after="60"/>
      </w:pPr>
      <w:r>
        <w:rPr>
          <w:rFonts w:ascii="Calibri" w:cs="Calibri" w:eastAsia="Calibri" w:hAnsi="Calibri"/>
          <w:color w:val="1A1A1A"/>
          <w:sz w:val="22"/>
          <w:szCs w:val="22"/>
        </w:rPr>
        <w:t xml:space="preserve">Review and reduce the number of accounts with SMTP AUTH enabled to only those with a documented business need.</w:t>
      </w:r>
    </w:p>
    <w:p>
      <w:pPr>
        <w:pStyle w:val="ListParagraph"/>
        <w:numPr>
          <w:ilvl w:val="0"/>
          <w:numId w:val="2"/>
        </w:numPr>
        <w:spacing w:after="60" w:before="120"/>
      </w:pPr>
      <w:r>
        <w:rPr>
          <w:rFonts w:ascii="Calibri" w:cs="Calibri" w:eastAsia="Calibri" w:hAnsi="Calibri"/>
          <w:b/>
          <w:bCs/>
          <w:color w:val="1A1A1A"/>
          <w:sz w:val="22"/>
          <w:szCs w:val="22"/>
        </w:rPr>
        <w:t xml:space="preserve">Security Awareness</w:t>
      </w:r>
    </w:p>
    <w:p>
      <w:pPr>
        <w:pStyle w:val="ListParagraph"/>
        <w:numPr>
          <w:ilvl w:val="1"/>
          <w:numId w:val="2"/>
        </w:numPr>
        <w:spacing w:after="60"/>
      </w:pPr>
      <w:r>
        <w:rPr>
          <w:rFonts w:ascii="Calibri" w:cs="Calibri" w:eastAsia="Calibri" w:hAnsi="Calibri"/>
          <w:color w:val="1A1A1A"/>
          <w:sz w:val="22"/>
          <w:szCs w:val="22"/>
        </w:rPr>
        <w:t xml:space="preserve">Conduct targeted phishing awareness training with emphasis on adversary-in-the-middle (AiTM) phishing kits that can capture session tokens even when MFA is enabled.</w:t>
      </w:r>
    </w:p>
    <w:p>
      <w:pPr>
        <w:pStyle w:val="ListParagraph"/>
        <w:numPr>
          <w:ilvl w:val="1"/>
          <w:numId w:val="2"/>
        </w:numPr>
        <w:spacing w:after="60"/>
      </w:pPr>
      <w:r>
        <w:rPr>
          <w:rFonts w:ascii="Calibri" w:cs="Calibri" w:eastAsia="Calibri" w:hAnsi="Calibri"/>
          <w:color w:val="1A1A1A"/>
          <w:sz w:val="22"/>
          <w:szCs w:val="22"/>
        </w:rPr>
        <w:t xml:space="preserve">Communicate to end users that the organization is experiencing active credential-targeting campaigns and reinforce reporting procedures.</w:t>
      </w:r>
    </w:p>
    <w:p>
      <w:pPr>
        <w:pStyle w:val="ListParagraph"/>
        <w:numPr>
          <w:ilvl w:val="0"/>
          <w:numId w:val="2"/>
        </w:numPr>
        <w:spacing w:after="60" w:before="120"/>
      </w:pPr>
      <w:r>
        <w:rPr>
          <w:rFonts w:ascii="Calibri" w:cs="Calibri" w:eastAsia="Calibri" w:hAnsi="Calibri"/>
          <w:b/>
          <w:bCs/>
          <w:color w:val="1A1A1A"/>
          <w:sz w:val="22"/>
          <w:szCs w:val="22"/>
        </w:rPr>
        <w:t xml:space="preserve">Monitoring &amp; Detection</w:t>
      </w:r>
    </w:p>
    <w:p>
      <w:pPr>
        <w:pStyle w:val="ListParagraph"/>
        <w:numPr>
          <w:ilvl w:val="1"/>
          <w:numId w:val="2"/>
        </w:numPr>
        <w:spacing w:after="60"/>
      </w:pPr>
      <w:r>
        <w:rPr>
          <w:rFonts w:ascii="Calibri" w:cs="Calibri" w:eastAsia="Calibri" w:hAnsi="Calibri"/>
          <w:color w:val="1A1A1A"/>
          <w:sz w:val="22"/>
          <w:szCs w:val="22"/>
        </w:rPr>
        <w:t xml:space="preserve">Configure alerts for sign-ins from anonymizing proxy/VPN infrastructure (M247, NordVPN, Mullvad, etc.) and from countries outside the organization’s normal operating geography.</w:t>
      </w:r>
    </w:p>
    <w:p>
      <w:pPr>
        <w:pStyle w:val="ListParagraph"/>
        <w:numPr>
          <w:ilvl w:val="1"/>
          <w:numId w:val="2"/>
        </w:numPr>
        <w:spacing w:after="60"/>
      </w:pPr>
      <w:r>
        <w:rPr>
          <w:rFonts w:ascii="Calibri" w:cs="Calibri" w:eastAsia="Calibri" w:hAnsi="Calibri"/>
          <w:color w:val="1A1A1A"/>
          <w:sz w:val="22"/>
          <w:szCs w:val="22"/>
        </w:rPr>
        <w:t xml:space="preserve">Establish alerts for high-volume SMTP authentication failures to detect brute-force campaigns in near-real-time.</w:t>
      </w:r>
    </w:p>
    <w:p>
      <w:pPr>
        <w:pStyle w:val="ListParagraph"/>
        <w:numPr>
          <w:ilvl w:val="1"/>
          <w:numId w:val="2"/>
        </w:numPr>
        <w:spacing w:after="60"/>
      </w:pPr>
      <w:r>
        <w:rPr>
          <w:rFonts w:ascii="Calibri" w:cs="Calibri" w:eastAsia="Calibri" w:hAnsi="Calibri"/>
          <w:color w:val="1A1A1A"/>
          <w:sz w:val="22"/>
          <w:szCs w:val="22"/>
        </w:rPr>
        <w:t xml:space="preserve">Review and extend sign-in and audit log retention to at least 90 days to support future investigations.</w:t>
      </w:r>
    </w:p>
    <w:p>
      <w:pPr>
        <w:pBdr>
          <w:top w:val="single" w:color="CCCCCC" w:sz="1"/>
        </w:pBdr>
        <w:spacing w:before="360"/>
      </w:pPr>
      <w:r>
        <w:rPr>
          <w:rFonts w:ascii="Calibri" w:cs="Calibri" w:eastAsia="Calibri" w:hAnsi="Calibri"/>
          <w:i/>
          <w:iCs/>
          <w:color w:val="666666"/>
          <w:sz w:val="18"/>
          <w:szCs w:val="18"/>
        </w:rPr>
        <w:t xml:space="preserve">CONFIDENTIAL — Prepared by [Your Organization] for ACME, ltd.. Ref: BEC-2025-1030. Distribution limited to authorized recipients.</w:t>
      </w:r>
    </w:p>
    <w:sectPr>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2026-07-29T02:07:21.683Z</dcterms:created>
  <dcterms:modified xsi:type="dcterms:W3CDTF">2026-07-29T02:07:21.683Z</dcterms:modified>
</cp:coreProperties>
</file>

<file path=docProps/custom.xml><?xml version="1.0" encoding="utf-8"?>
<Properties xmlns="http://schemas.openxmlformats.org/officeDocument/2006/custom-properties" xmlns:vt="http://schemas.openxmlformats.org/officeDocument/2006/docPropsVTypes"/>
</file>