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DECEA" w:color="auto" w:val="clear"/>
        <w:spacing w:after="120"/>
      </w:pPr>
      <w:r>
        <w:rPr>
          <w:rFonts w:ascii="Calibri" w:cs="Calibri" w:eastAsia="Calibri" w:hAnsi="Calibri"/>
          <w:b/>
          <w:bCs/>
          <w:color w:val="9C2A2A"/>
          <w:sz w:val="20"/>
          <w:szCs w:val="20"/>
        </w:rPr>
        <w:t xml:space="preserve">INTERNAL USE ONLY: Not for client or external distribution</w:t>
      </w:r>
    </w:p>
    <w:p>
      <w:pPr>
        <w:spacing w:after="120"/>
      </w:pPr>
      <w:r>
        <w:rPr>
          <w:rFonts w:ascii="Calibri" w:cs="Calibri" w:eastAsia="Calibri" w:hAnsi="Calibri"/>
          <w:b/>
          <w:bCs/>
          <w:color w:val="2F5496"/>
          <w:sz w:val="40"/>
          <w:szCs w:val="40"/>
        </w:rPr>
        <w:t xml:space="preserve">Incident Response Post-Mortem</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6680"/>
      </w:tblGrid>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BEC-2025-1030</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ACME, ltd. (redact for wide distribution)</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Date Range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30, 2025 (single-day incident)</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Detection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30, 2025, ~23:22 UTC</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30, 2025, ~23:22 UTC</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Post-Mortem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Facilitator</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 Name]</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Attendees</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 names / roles]</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[team/department]</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USE ONLY: Not for client or external distribution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Incident Summary</w:t>
      </w:r>
    </w:p>
    <w:p>
      <w:pPr>
        <w:spacing w:after="120" w:before="0" w:line="264"/>
      </w:pPr>
      <w:r>
        <w:rPr>
          <w:rFonts w:ascii="Calibri" w:cs="Calibri" w:eastAsia="Calibri" w:hAnsi="Calibri"/>
          <w:b w:val="false"/>
          <w:bCs w:val="false"/>
          <w:i w:val="false"/>
          <w:iCs w:val="false"/>
          <w:color w:val="1A1A1A"/>
          <w:sz w:val="22"/>
          <w:szCs w:val="22"/>
        </w:rPr>
        <w:t xml:space="preserve">A single ACME mailbox was briefly compromised via AiTM token theft on the evening of October 30, 2025. We learned of it through an unusual-sign-in report, disabled the account within minutes, then reset credentials, revoked tokens, confirmed no persistence, and re-enabled the account after MFA re-enrollment. During the review we also found an ongoing SMTP brute-force campaign against the tenant. Full findings are in the investigation report (Ref BEC-2025-1030).</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Response Timeline</w:t>
      </w:r>
    </w:p>
    <w:p>
      <w:pPr>
        <w:spacing w:after="120" w:before="0" w:line="264"/>
      </w:pPr>
      <w:r>
        <w:rPr>
          <w:rFonts w:ascii="Calibri" w:cs="Calibri" w:eastAsia="Calibri" w:hAnsi="Calibri"/>
          <w:b w:val="false"/>
          <w:bCs w:val="false"/>
          <w:i/>
          <w:iCs/>
          <w:color w:val="666666"/>
          <w:sz w:val="20"/>
          <w:szCs w:val="20"/>
        </w:rPr>
        <w:t xml:space="preserve">Our actions and information received (not the attacker's timeline). Times in UTC.</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600"/>
        <w:gridCol w:w="3600"/>
        <w:gridCol w:w="253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Who</w:t>
            </w:r>
          </w:p>
        </w:tc>
        <w:tc>
          <w:tcPr>
            <w:tcW w:type="dxa" w:w="3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53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~23:20</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 Helpdesk</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Unusual sign-in activity reported for victoria1.heather3</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Trigger for response</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~23:22</w:t>
            </w:r>
          </w:p>
        </w:tc>
        <w:tc>
          <w:tcPr>
            <w:tcW w:type="dxa" w:w="1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Account disabled</w:t>
            </w:r>
          </w:p>
        </w:tc>
        <w:tc>
          <w:tcPr>
            <w:tcW w:type="dxa" w:w="253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Fast containment</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Tenant access obtained; sign-in and audit logs collected</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1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Password reset, tokens revoked, persistence review completed</w:t>
            </w:r>
          </w:p>
        </w:tc>
        <w:tc>
          <w:tcPr>
            <w:tcW w:type="dxa" w:w="253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artifacts found</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MFA re-enrolled; account re-enabled; report delivered</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What Went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account was disabled within roughly two minutes of the unusual-activity report, holding attacker access to about five minutes.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We followed correct containment ordering (disable, then reset and revoke) and verified the absence of persistence before closing.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Session-identifier analysis let us positively distinguish token replay from password guessing, which sharpened the recommendations.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What Did Not Go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Detection was manual. We had no automated alert for anonymizer or impossible-travel sign-ins, so response depended on someone noticing.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concurrent SMTP brute-force campaign had been running unremarked; we found it only because we reviewed tenant-wide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tenant’s licensing tier gave us no MailItemsAccessed data, so we could not fully answer the “what did they read” question.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Where We Got Lucky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attacker took no mailbox action in the brief window. Had they created an inbox rule or forwarding within those five minutes, the outcome would have been materially worse, and nothing we did prevented them from trying.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unusual-activity report happened to arrive almost immediately; a later report would have given the attacker a longer dwell time.</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Root Causes of Response Gaps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4680"/>
        <w:gridCol w:w="200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Surface Problem</w:t>
            </w:r>
          </w:p>
        </w:tc>
        <w:tc>
          <w:tcPr>
            <w:tcW w:type="dxa" w:w="4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Underlying Cause (5-Whys)</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 bypassed MFA</w:t>
            </w:r>
          </w:p>
        </w:tc>
        <w:tc>
          <w:tcPr>
            <w:tcW w:type="dxa" w:w="4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phish-resistant MFA; standard MFA cannot stop token replay</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Environment</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Slow, manual detection</w:t>
            </w:r>
          </w:p>
        </w:tc>
        <w:tc>
          <w:tcPr>
            <w:tcW w:type="dxa" w:w="4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automated anomalous-sign-in alerting configured</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Tooling</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Brute-force ran unnoticed</w:t>
            </w:r>
          </w:p>
        </w:tc>
        <w:tc>
          <w:tcPr>
            <w:tcW w:type="dxa" w:w="4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Legacy SMTP AUTH enabled and unmonitored</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Environment</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Action Items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180"/>
        <w:gridCol w:w="1400"/>
        <w:gridCol w:w="1400"/>
        <w:gridCol w:w="1200"/>
        <w:gridCol w:w="1000"/>
      </w:tblGrid>
      <w:tr>
        <w:trPr>
          <w:tblHeader/>
        </w:trPr>
        <w:tc>
          <w:tcPr>
            <w:tcW w:type="dxa" w:w="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t>
            </w:r>
          </w:p>
        </w:tc>
        <w:tc>
          <w:tcPr>
            <w:tcW w:type="dxa" w:w="41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Owner</w:t>
            </w:r>
          </w:p>
        </w:tc>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Due</w:t>
            </w:r>
          </w:p>
        </w:tc>
        <w:tc>
          <w:tcPr>
            <w:tcW w:type="dxa" w:w="1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Priority</w:t>
            </w:r>
          </w:p>
        </w:tc>
        <w:tc>
          <w:tcPr>
            <w:tcW w:type="dxa" w:w="1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Status</w:t>
            </w:r>
          </w:p>
        </w:tc>
      </w:tr>
      <w:tr>
        <w:tc>
          <w:tcPr>
            <w:tcW w:type="dxa" w:w="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w:t>
            </w:r>
          </w:p>
        </w:tc>
        <w:tc>
          <w:tcPr>
            <w:tcW w:type="dxa" w:w="41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 up anomalous-sign-in alerting (anonymizer ASN, impossible travel), verified by test-fire</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[+14 days]</w:t>
            </w:r>
          </w:p>
        </w:tc>
        <w:tc>
          <w:tcPr>
            <w:tcW w:type="dxa" w:w="1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w:t>
            </w:r>
          </w:p>
        </w:tc>
        <w:tc>
          <w:tcPr>
            <w:tcW w:type="dxa" w:w="41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Disable SMTP AUTH tenant-wide except documented exceptions</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[+14 days]</w:t>
            </w:r>
          </w:p>
        </w:tc>
        <w:tc>
          <w:tcPr>
            <w:tcW w:type="dxa" w:w="1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w:t>
            </w:r>
          </w:p>
        </w:tc>
        <w:tc>
          <w:tcPr>
            <w:tcW w:type="dxa" w:w="41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Pilot FIDO2 keys for finance and admin users</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[+30 days]</w:t>
            </w:r>
          </w:p>
        </w:tc>
        <w:tc>
          <w:tcPr>
            <w:tcW w:type="dxa" w:w="1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Medium</w:t>
            </w:r>
          </w:p>
        </w:tc>
        <w:tc>
          <w:tcPr>
            <w:tcW w:type="dxa" w:w="1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4</w:t>
            </w:r>
          </w:p>
        </w:tc>
        <w:tc>
          <w:tcPr>
            <w:tcW w:type="dxa" w:w="41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Add SMTP auth-failure spike alert to SIEM/alert channel</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 days]</w:t>
            </w:r>
          </w:p>
        </w:tc>
        <w:tc>
          <w:tcPr>
            <w:tcW w:type="dxa" w:w="1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Medium</w:t>
            </w:r>
          </w:p>
        </w:tc>
        <w:tc>
          <w:tcPr>
            <w:tcW w:type="dxa" w:w="1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Tooling and Playbook Changes</w:t>
      </w:r>
    </w:p>
    <w:p>
      <w:pPr>
        <w:pStyle w:val="Heading2"/>
        <w:keepNext/>
        <w:spacing w:after="80" w:before="180"/>
      </w:pPr>
      <w:r>
        <w:rPr>
          <w:rFonts w:ascii="Calibri" w:cs="Calibri" w:eastAsia="Calibri" w:hAnsi="Calibri"/>
          <w:b/>
          <w:bCs/>
          <w:color w:val="2F5496"/>
          <w:sz w:val="24"/>
          <w:szCs w:val="24"/>
        </w:rPr>
        <w:t xml:space="preserve">8.1 Scripts and Tools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Keep session-identifier correlation as a standard step in our M365 BEC intake to distinguish token replay from guessing.</w:t>
      </w:r>
    </w:p>
    <w:p>
      <w:pPr>
        <w:pStyle w:val="Heading2"/>
        <w:keepNext/>
        <w:spacing w:after="80" w:before="180"/>
      </w:pPr>
      <w:r>
        <w:rPr>
          <w:rFonts w:ascii="Calibri" w:cs="Calibri" w:eastAsia="Calibri" w:hAnsi="Calibri"/>
          <w:b/>
          <w:bCs/>
          <w:color w:val="2F5496"/>
          <w:sz w:val="24"/>
          <w:szCs w:val="24"/>
        </w:rPr>
        <w:t xml:space="preserve">8.2 Playbook and Runbook Updates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Add an explicit early step: pull tenant-wide sign-in failures to catch concurrent campaigns (like the SMTP brute-force) during any single-account BEC.</w:t>
      </w:r>
    </w:p>
    <w:p>
      <w:pPr>
        <w:pStyle w:val="Heading2"/>
        <w:keepNext/>
        <w:spacing w:after="80" w:before="180"/>
      </w:pPr>
      <w:r>
        <w:rPr>
          <w:rFonts w:ascii="Calibri" w:cs="Calibri" w:eastAsia="Calibri" w:hAnsi="Calibri"/>
          <w:b/>
          <w:bCs/>
          <w:color w:val="2F5496"/>
          <w:sz w:val="24"/>
          <w:szCs w:val="24"/>
        </w:rPr>
        <w:t xml:space="preserve">8.3 Detection and Alerting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Create and route an alert for repeated KMSI-interrupt sign-ins from hosting ASNs.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Create an SMTP authentication-failure volume alert.</w:t>
      </w:r>
    </w:p>
    <w:p>
      <w:pPr>
        <w:pStyle w:val="Heading2"/>
        <w:keepNext/>
        <w:spacing w:after="80" w:before="180"/>
      </w:pPr>
      <w:r>
        <w:rPr>
          <w:rFonts w:ascii="Calibri" w:cs="Calibri" w:eastAsia="Calibri" w:hAnsi="Calibri"/>
          <w:b/>
          <w:bCs/>
          <w:color w:val="2F5496"/>
          <w:sz w:val="24"/>
          <w:szCs w:val="24"/>
        </w:rPr>
        <w:t xml:space="preserve">8.4 Documentation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KB article: interpreting reused SessionID across IPs as a token-replay indicator, owner [Owner].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Training and Knowledge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Brief the team on AiTM token-replay fingerprints (shared SessionID, KMSI interrupts) so the pattern is recognized on first pass.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Client Relationship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Client responds quickly to sign-in anomalies; a documented after-hours escalation path would speed future containment.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 is on a licensing tier without MailItemsAccessed; note this limitation for future exposure questions and discuss an upgrade.</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Response Metrics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Dwell time (compromise to detection)</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~5 minutes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Detection to containment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~1–2 minutes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to eradication</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&lt; 1 day</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Accounts affected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Mailboxes accessed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(item-level indeterminate)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Persistence artifacts found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financial loss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Responder hours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[fill in]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Open Questions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What was the exact phishing lure and delivery path? The originating message was not recovered.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Are the SMTP brute-force source IPs part of a known campaign we should share to an ISAC?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Follow-Up Schedule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1900"/>
        <w:gridCol w:w="1900"/>
        <w:gridCol w:w="4080"/>
      </w:tblGrid>
      <w:tr>
        <w:trPr>
          <w:tblHeader/>
        </w:trPr>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Checkpoint</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Owner</w:t>
            </w:r>
          </w:p>
        </w:tc>
        <w:tc>
          <w:tcPr>
            <w:tcW w:type="dxa" w:w="4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What to Review</w:t>
            </w:r>
          </w:p>
        </w:tc>
      </w:tr>
      <w:tr>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30 days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 SMTP AUTH disablement and alerting are live</w:t>
            </w:r>
          </w:p>
        </w:tc>
      </w:tr>
      <w:tr>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60 days</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 FIDO2 pilot progress</w:t>
            </w:r>
          </w:p>
        </w:tc>
      </w:tr>
      <w:tr>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90 days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Verify no recurrence; review Conditional Access posture</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14. References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Investigation Report, ACME, ltd., v1.0, October 31, 2025 (Ref BEC-2025-1030).</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Attestation Letter (if issued), October 31, 2025.</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Ticket / Case: BEC-2025-1030.</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post-mortem meeting.</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action items tracked separately.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INTERNAL USE ONLY · BEC-2025-1030</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ltd. Post-Mortem</dc:title>
  <dc:creator>[Your Organization]</dc:creator>
  <cp:lastModifiedBy>Un-named</cp:lastModifiedBy>
  <cp:revision>1</cp:revision>
  <dcterms:created xsi:type="dcterms:W3CDTF">2026-07-31T07:35:16.069Z</dcterms:created>
  <dcterms:modified xsi:type="dcterms:W3CDTF">2026-07-31T07:35:16.069Z</dcterms:modified>
</cp:coreProperties>
</file>

<file path=docProps/custom.xml><?xml version="1.0" encoding="utf-8"?>
<Properties xmlns="http://schemas.openxmlformats.org/officeDocument/2006/custom-properties" xmlns:vt="http://schemas.openxmlformats.org/officeDocument/2006/docPropsVTypes"/>
</file>