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2F5496"/>
          <w:sz w:val="28"/>
          <w:szCs w:val="28"/>
        </w:rPr>
        <w:t xml:space="preserve">[LOGO]  [Your Organization]</w:t>
      </w:r>
    </w:p>
    <w:p>
      <w:pPr>
        <w:pBdr>
          <w:bottom w:val="single" w:color="2F5496" w:sz="6" w:space="2"/>
        </w:pBdr>
        <w:spacing w:after="0"/>
      </w:pPr>
      <w:r>
        <w:rPr>
          <w:rFonts w:ascii="Calibri" w:cs="Calibri" w:eastAsia="Calibri" w:hAnsi="Calibri"/>
          <w:color w:val="666666"/>
          <w:sz w:val="18"/>
          <w:szCs w:val="18"/>
        </w:rPr>
        <w:t xml:space="preserve">[Street Address] · [City, State ZIP] · [Phone] · [Email] · [Website]</w:t>
      </w:r>
    </w:p>
    <w:p>
      <w:pPr>
        <w:spacing w:after="160" w:before="160" w:line="264"/>
      </w:pPr>
      <w:r>
        <w:rPr>
          <w:rFonts w:ascii="Calibri" w:cs="Calibri" w:eastAsia="Calibri" w:hAnsi="Calibri"/>
          <w:b/>
          <w:bCs/>
          <w:i w:val="false"/>
          <w:iCs w:val="false"/>
          <w:color w:val="666666"/>
          <w:sz w:val="20"/>
          <w:szCs w:val="20"/>
        </w:rPr>
        <w:t xml:space="preserve">CONFIDENTIAL</w:t>
      </w:r>
    </w:p>
    <w:p>
      <w:pPr>
        <w:spacing w:after="120" w:before="0" w:line="264"/>
      </w:pPr>
      <w:r>
        <w:rPr>
          <w:rFonts w:ascii="Calibri" w:cs="Calibri" w:eastAsia="Calibri" w:hAnsi="Calibri"/>
          <w:b w:val="false"/>
          <w:bCs w:val="false"/>
          <w:i w:val="false"/>
          <w:iCs w:val="false"/>
          <w:color w:val="1A1A1A"/>
          <w:sz w:val="22"/>
          <w:szCs w:val="22"/>
        </w:rPr>
        <w:t xml:space="preserve">November 29, 2025</w:t>
      </w:r>
    </w:p>
    <w:p>
      <w:pPr>
        <w:spacing w:after="0" w:before="0" w:line="264"/>
      </w:pPr>
      <w:r>
        <w:rPr>
          <w:rFonts w:ascii="Calibri" w:cs="Calibri" w:eastAsia="Calibri" w:hAnsi="Calibri"/>
          <w:b w:val="false"/>
          <w:bCs w:val="false"/>
          <w:i w:val="false"/>
          <w:iCs w:val="false"/>
          <w:color w:val="1A1A1A"/>
          <w:sz w:val="22"/>
          <w:szCs w:val="22"/>
        </w:rPr>
        <w:t xml:space="preserve">[Recipient Name]</w:t>
      </w:r>
    </w:p>
    <w:p>
      <w:pPr>
        <w:spacing w:after="0" w:before="0" w:line="264"/>
      </w:pPr>
      <w:r>
        <w:rPr>
          <w:rFonts w:ascii="Calibri" w:cs="Calibri" w:eastAsia="Calibri" w:hAnsi="Calibri"/>
          <w:b w:val="false"/>
          <w:bCs w:val="false"/>
          <w:i w:val="false"/>
          <w:iCs w:val="false"/>
          <w:color w:val="1A1A1A"/>
          <w:sz w:val="22"/>
          <w:szCs w:val="22"/>
        </w:rPr>
        <w:t xml:space="preserve">[Recipient Title]</w:t>
      </w:r>
    </w:p>
    <w:p>
      <w:pPr>
        <w:spacing w:after="0" w:before="0" w:line="264"/>
      </w:pPr>
      <w:r>
        <w:rPr>
          <w:rFonts w:ascii="Calibri" w:cs="Calibri" w:eastAsia="Calibri" w:hAnsi="Calibri"/>
          <w:b w:val="false"/>
          <w:bCs w:val="false"/>
          <w:i w:val="false"/>
          <w:iCs w:val="false"/>
          <w:color w:val="1A1A1A"/>
          <w:sz w:val="22"/>
          <w:szCs w:val="22"/>
        </w:rPr>
        <w:t xml:space="preserve">[Recipient Organization]</w:t>
      </w:r>
    </w:p>
    <w:p>
      <w:pPr>
        <w:spacing w:after="160" w:before="0" w:line="264"/>
      </w:pPr>
      <w:r>
        <w:rPr>
          <w:rFonts w:ascii="Calibri" w:cs="Calibri" w:eastAsia="Calibri" w:hAnsi="Calibri"/>
          <w:b w:val="false"/>
          <w:bCs w:val="false"/>
          <w:i w:val="false"/>
          <w:iCs w:val="false"/>
          <w:color w:val="1A1A1A"/>
          <w:sz w:val="22"/>
          <w:szCs w:val="22"/>
        </w:rPr>
        <w:t xml:space="preserve">[Address]</w:t>
      </w:r>
    </w:p>
    <w:p>
      <w:pPr>
        <w:spacing w:after="160" w:before="0" w:line="264"/>
      </w:pPr>
      <w:r>
        <w:rPr>
          <w:rFonts w:ascii="Calibri" w:cs="Calibri" w:eastAsia="Calibri" w:hAnsi="Calibri"/>
          <w:b/>
          <w:bCs/>
          <w:i w:val="false"/>
          <w:iCs w:val="false"/>
          <w:color w:val="1A1A1A"/>
          <w:sz w:val="22"/>
          <w:szCs w:val="22"/>
        </w:rPr>
        <w:t xml:space="preserve">Re:  Attestation of Investigation - Business Email Compromise Incident (Trey Research, Ref BEC-2025-1129)</w:t>
      </w:r>
    </w:p>
    <w:p>
      <w:pPr>
        <w:spacing w:after="120" w:before="0" w:line="264"/>
      </w:pPr>
      <w:r>
        <w:rPr>
          <w:rFonts w:ascii="Calibri" w:cs="Calibri" w:eastAsia="Calibri" w:hAnsi="Calibri"/>
          <w:b w:val="false"/>
          <w:bCs w:val="false"/>
          <w:i w:val="false"/>
          <w:iCs w:val="false"/>
          <w:color w:val="1A1A1A"/>
          <w:sz w:val="22"/>
          <w:szCs w:val="22"/>
        </w:rPr>
        <w:t xml:space="preserve">Dear [Recipient Name / To Whom It May Concern]:</w:t>
      </w:r>
    </w:p>
    <w:p>
      <w:pPr>
        <w:spacing w:after="120" w:before="0" w:line="264"/>
      </w:pPr>
      <w:r>
        <w:rPr>
          <w:rFonts w:ascii="Calibri" w:cs="Calibri" w:eastAsia="Calibri" w:hAnsi="Calibri"/>
          <w:b w:val="false"/>
          <w:bCs w:val="false"/>
          <w:i w:val="false"/>
          <w:iCs w:val="false"/>
          <w:color w:val="1A1A1A"/>
          <w:sz w:val="22"/>
          <w:szCs w:val="22"/>
        </w:rPr>
        <w:t xml:space="preserve">This letter attests to the findings of an investigation conducted by [Your Organization] (hereinafter “[Short Name]”) into a business email compromise incident affecting the Microsoft 365 tenant of Trey Research (primary domain treyresearch.com), which began on or about November 29, 2025 under engagement reference BEC-2025-1129. It summarizes the scope, findings, and remediation status of that investigation and supports Trey Research’s communications with the named recipient.</w:t>
      </w:r>
    </w:p>
    <w:p>
      <w:pPr>
        <w:keepNext/>
        <w:spacing w:after="60" w:before="160"/>
      </w:pPr>
      <w:r>
        <w:rPr>
          <w:rFonts w:ascii="Calibri" w:cs="Calibri" w:eastAsia="Calibri" w:hAnsi="Calibri"/>
          <w:b/>
          <w:bCs/>
          <w:color w:val="2F5496"/>
          <w:sz w:val="24"/>
          <w:szCs w:val="24"/>
        </w:rPr>
        <w:t xml:space="preserve">Investigator Qualifications</w:t>
      </w:r>
    </w:p>
    <w:p>
      <w:pPr>
        <w:spacing w:after="120" w:before="0" w:line="264"/>
      </w:pPr>
      <w:r>
        <w:rPr>
          <w:rFonts w:ascii="Calibri" w:cs="Calibri" w:eastAsia="Calibri" w:hAnsi="Calibri"/>
          <w:b w:val="false"/>
          <w:bCs w:val="false"/>
          <w:i w:val="false"/>
          <w:iCs w:val="false"/>
          <w:color w:val="1A1A1A"/>
          <w:sz w:val="22"/>
          <w:szCs w:val="22"/>
        </w:rPr>
        <w:t xml:space="preserve">[Your Organization] provides digital forensics and incident response services focused on Microsoft 365 and Entra ID intrusions. The lead investigator, [Investigator Name], holds [certifications, e.g., GCIH, GCFA] and has conducted numerous business email compromise investigations.</w:t>
      </w:r>
    </w:p>
    <w:p>
      <w:pPr>
        <w:keepNext/>
        <w:spacing w:after="60" w:before="160"/>
      </w:pPr>
      <w:r>
        <w:rPr>
          <w:rFonts w:ascii="Calibri" w:cs="Calibri" w:eastAsia="Calibri" w:hAnsi="Calibri"/>
          <w:b/>
          <w:bCs/>
          <w:color w:val="2F5496"/>
          <w:sz w:val="24"/>
          <w:szCs w:val="24"/>
        </w:rPr>
        <w:t xml:space="preserve">Incident Summary</w:t>
      </w:r>
    </w:p>
    <w:p>
      <w:pPr>
        <w:spacing w:after="120" w:before="0" w:line="264"/>
      </w:pPr>
      <w:r>
        <w:rPr>
          <w:rFonts w:ascii="Calibri" w:cs="Calibri" w:eastAsia="Calibri" w:hAnsi="Calibri"/>
          <w:b w:val="false"/>
          <w:bCs w:val="false"/>
          <w:i w:val="false"/>
          <w:iCs w:val="false"/>
          <w:color w:val="1A1A1A"/>
          <w:sz w:val="22"/>
          <w:szCs w:val="22"/>
        </w:rPr>
        <w:t xml:space="preserve">The investigation determined that the mailbox “harris4@treyresearch.com” was accessed without authorization on November 29, 2025 for over five hours (from about 13:08 to at least 18:23 UTC). The account was protected by password only, with no multi-factor authentication. The threat actor, operating from a hosting/VPS address (Cyber Wurx LLC, Atlanta, Georgia), created a concealment inbox rule and sent 466 phishing messages to 451 recipients, then deleted items to hide the activity. The compromise was detected through coworker reports.</w:t>
      </w:r>
    </w:p>
    <w:p>
      <w:pPr>
        <w:keepNext/>
        <w:spacing w:after="60" w:before="160"/>
      </w:pPr>
      <w:r>
        <w:rPr>
          <w:rFonts w:ascii="Calibri" w:cs="Calibri" w:eastAsia="Calibri" w:hAnsi="Calibri"/>
          <w:b/>
          <w:bCs/>
          <w:color w:val="2F5496"/>
          <w:sz w:val="24"/>
          <w:szCs w:val="24"/>
        </w:rPr>
        <w:t xml:space="preserve">Scope of Investigation</w:t>
      </w:r>
    </w:p>
    <w:p>
      <w:pPr>
        <w:spacing w:after="120" w:before="0" w:line="264"/>
      </w:pPr>
      <w:r>
        <w:rPr>
          <w:rFonts w:ascii="Calibri" w:cs="Calibri" w:eastAsia="Calibri" w:hAnsi="Calibri"/>
          <w:b w:val="false"/>
          <w:bCs w:val="false"/>
          <w:i w:val="false"/>
          <w:iCs w:val="false"/>
          <w:color w:val="1A1A1A"/>
          <w:sz w:val="22"/>
          <w:szCs w:val="22"/>
        </w:rPr>
        <w:t xml:space="preserve">The evidence period spanned November 19 through November 30, 2025. Sources examined included Entra ID interactive sign-in logs, the Microsoft 365 Unified Audit Log, inbox-rule change logs, Exchange Online message trace, and tenant content-search and purge results.</w:t>
      </w:r>
    </w:p>
    <w:p>
      <w:pPr>
        <w:keepNext/>
        <w:spacing w:after="60" w:before="160"/>
      </w:pPr>
      <w:r>
        <w:rPr>
          <w:rFonts w:ascii="Calibri" w:cs="Calibri" w:eastAsia="Calibri" w:hAnsi="Calibri"/>
          <w:b/>
          <w:bCs/>
          <w:color w:val="2F5496"/>
          <w:sz w:val="24"/>
          <w:szCs w:val="24"/>
        </w:rPr>
        <w:t xml:space="preserve">Investigation Status</w:t>
      </w:r>
    </w:p>
    <w:p>
      <w:pPr>
        <w:spacing w:after="120" w:before="0" w:line="264"/>
      </w:pPr>
      <w:r>
        <w:rPr>
          <w:rFonts w:ascii="Calibri" w:cs="Calibri" w:eastAsia="Calibri" w:hAnsi="Calibri"/>
          <w:b w:val="false"/>
          <w:bCs w:val="false"/>
          <w:i w:val="false"/>
          <w:iCs w:val="false"/>
          <w:color w:val="1A1A1A"/>
          <w:sz w:val="22"/>
          <w:szCs w:val="22"/>
        </w:rPr>
        <w:t xml:space="preserve">The investigation is complete. Containment, eradication, and recovery actions have been performed and verified. Notification of external recipients is being carried out by the client.</w:t>
      </w:r>
    </w:p>
    <w:p>
      <w:pPr>
        <w:keepNext/>
        <w:spacing w:after="60" w:before="160"/>
      </w:pPr>
      <w:r>
        <w:rPr>
          <w:rFonts w:ascii="Calibri" w:cs="Calibri" w:eastAsia="Calibri" w:hAnsi="Calibri"/>
          <w:b/>
          <w:bCs/>
          <w:color w:val="2F5496"/>
          <w:sz w:val="24"/>
          <w:szCs w:val="24"/>
        </w:rPr>
        <w:t xml:space="preserve">Summary of Findings</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Initial Access: </w:t>
      </w:r>
      <w:r>
        <w:rPr>
          <w:rFonts w:ascii="Calibri" w:cs="Calibri" w:eastAsia="Calibri" w:hAnsi="Calibri"/>
          <w:b w:val="false"/>
          <w:bCs w:val="false"/>
          <w:i w:val="false"/>
          <w:iCs w:val="false"/>
          <w:color w:val="1A1A1A"/>
          <w:sz w:val="22"/>
          <w:szCs w:val="22"/>
        </w:rPr>
        <w:t xml:space="preserve">Credential compromise on an account with no MFA; direct access from hosting/VPS infrastructure.</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Persistence Mechanisms: </w:t>
      </w:r>
      <w:r>
        <w:rPr>
          <w:rFonts w:ascii="Calibri" w:cs="Calibri" w:eastAsia="Calibri" w:hAnsi="Calibri"/>
          <w:b w:val="false"/>
          <w:bCs w:val="false"/>
          <w:i w:val="false"/>
          <w:iCs w:val="false"/>
          <w:color w:val="1A1A1A"/>
          <w:sz w:val="22"/>
          <w:szCs w:val="22"/>
        </w:rPr>
        <w:t xml:space="preserve">A single catch-all inbox rule (“.”, mark read and move to Archive) used for concealment; no forwarding, delegation, or OAuth grants.</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Duration of Unauthorized Access: </w:t>
      </w:r>
      <w:r>
        <w:rPr>
          <w:rFonts w:ascii="Calibri" w:cs="Calibri" w:eastAsia="Calibri" w:hAnsi="Calibri"/>
          <w:b w:val="false"/>
          <w:bCs w:val="false"/>
          <w:i w:val="false"/>
          <w:iCs w:val="false"/>
          <w:color w:val="1A1A1A"/>
          <w:sz w:val="22"/>
          <w:szCs w:val="22"/>
        </w:rPr>
        <w:t xml:space="preserve">Over five hours of authenticated access on November 29, 2025.</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Financial Impact: </w:t>
      </w:r>
      <w:r>
        <w:rPr>
          <w:rFonts w:ascii="Calibri" w:cs="Calibri" w:eastAsia="Calibri" w:hAnsi="Calibri"/>
          <w:b w:val="false"/>
          <w:bCs w:val="false"/>
          <w:i w:val="false"/>
          <w:iCs w:val="false"/>
          <w:color w:val="1A1A1A"/>
          <w:sz w:val="22"/>
          <w:szCs w:val="22"/>
        </w:rPr>
        <w:t xml:space="preserve">No confirmed financial loss; the campaign was phishing distribution rather than direct invoice fraud.</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Lateral Movement: </w:t>
      </w:r>
      <w:r>
        <w:rPr>
          <w:rFonts w:ascii="Calibri" w:cs="Calibri" w:eastAsia="Calibri" w:hAnsi="Calibri"/>
          <w:b w:val="false"/>
          <w:bCs w:val="false"/>
          <w:i w:val="false"/>
          <w:iCs w:val="false"/>
          <w:color w:val="1A1A1A"/>
          <w:sz w:val="22"/>
          <w:szCs w:val="22"/>
        </w:rPr>
        <w:t xml:space="preserve">Eighteen internal recipients were targeted; no confirmed secondary account takeover was identified. Internal copies were purged.</w:t>
      </w:r>
    </w:p>
    <w:p>
      <w:pPr>
        <w:keepNext/>
        <w:spacing w:after="60" w:before="160"/>
      </w:pPr>
      <w:r>
        <w:rPr>
          <w:rFonts w:ascii="Calibri" w:cs="Calibri" w:eastAsia="Calibri" w:hAnsi="Calibri"/>
          <w:b/>
          <w:bCs/>
          <w:color w:val="2F5496"/>
          <w:sz w:val="24"/>
          <w:szCs w:val="24"/>
        </w:rPr>
        <w:t xml:space="preserve">Data Exposure Assessment</w:t>
      </w:r>
    </w:p>
    <w:p>
      <w:pPr>
        <w:spacing w:after="120" w:before="0" w:line="264"/>
      </w:pPr>
      <w:r>
        <w:rPr>
          <w:rFonts w:ascii="Calibri" w:cs="Calibri" w:eastAsia="Calibri" w:hAnsi="Calibri"/>
          <w:b w:val="false"/>
          <w:bCs w:val="false"/>
          <w:i w:val="false"/>
          <w:iCs w:val="false"/>
          <w:color w:val="1A1A1A"/>
          <w:sz w:val="22"/>
          <w:szCs w:val="22"/>
        </w:rPr>
        <w:t xml:space="preserve">The threat actor had the ability to view mailbox contents during the access window, but no targeted data theft was observed; item-level reads were not the objective. The confirmed egress is the outbound phishing campaign. [Short Name] does not overstate exposure beyond what the evidence supports.</w:t>
      </w:r>
    </w:p>
    <w:p>
      <w:pPr>
        <w:keepNext/>
        <w:spacing w:after="60" w:before="160"/>
      </w:pPr>
      <w:r>
        <w:rPr>
          <w:rFonts w:ascii="Calibri" w:cs="Calibri" w:eastAsia="Calibri" w:hAnsi="Calibri"/>
          <w:b/>
          <w:bCs/>
          <w:color w:val="2F5496"/>
          <w:sz w:val="24"/>
          <w:szCs w:val="24"/>
        </w:rPr>
        <w:t xml:space="preserve">Remediation</w:t>
      </w:r>
    </w:p>
    <w:p>
      <w:pPr>
        <w:spacing w:after="120" w:before="0" w:line="264"/>
      </w:pPr>
      <w:r>
        <w:rPr>
          <w:rFonts w:ascii="Calibri" w:cs="Calibri" w:eastAsia="Calibri" w:hAnsi="Calibri"/>
          <w:b w:val="false"/>
          <w:bCs w:val="false"/>
          <w:i w:val="false"/>
          <w:iCs w:val="false"/>
          <w:color w:val="1A1A1A"/>
          <w:sz w:val="22"/>
          <w:szCs w:val="22"/>
        </w:rPr>
        <w:t xml:space="preserve">The following actions were directed and have been completed: the account was blocked and its sessions and refresh tokens revoked; the malicious inbox rule was removed; a tenant content search identified and purged 29 phishing messages from 16 internal mailboxes; and credentials were reset with MFA enforcement recommended. The complete external-recipient list was provided for notification.</w:t>
      </w:r>
    </w:p>
    <w:p>
      <w:pPr>
        <w:spacing w:after="120" w:before="0" w:line="264"/>
      </w:pPr>
      <w:r>
        <w:rPr>
          <w:rFonts w:ascii="Calibri" w:cs="Calibri" w:eastAsia="Calibri" w:hAnsi="Calibri"/>
          <w:b w:val="false"/>
          <w:bCs w:val="false"/>
          <w:i w:val="false"/>
          <w:iCs w:val="false"/>
          <w:color w:val="1A1A1A"/>
          <w:sz w:val="22"/>
          <w:szCs w:val="22"/>
        </w:rPr>
        <w:t xml:space="preserve">Additional posture recommendations, including MFA enforcement and inbox-rule alerting, are detailed in the referenced investigation report.</w:t>
      </w:r>
    </w:p>
    <w:p>
      <w:pPr>
        <w:keepNext/>
        <w:spacing w:after="60" w:before="160"/>
      </w:pPr>
      <w:r>
        <w:rPr>
          <w:rFonts w:ascii="Calibri" w:cs="Calibri" w:eastAsia="Calibri" w:hAnsi="Calibri"/>
          <w:b/>
          <w:bCs/>
          <w:color w:val="2F5496"/>
          <w:sz w:val="24"/>
          <w:szCs w:val="24"/>
        </w:rPr>
        <w:t xml:space="preserve">Attestation</w:t>
      </w:r>
    </w:p>
    <w:p>
      <w:pPr>
        <w:spacing w:after="120" w:before="0" w:line="264"/>
      </w:pPr>
      <w:r>
        <w:rPr>
          <w:rFonts w:ascii="Calibri" w:cs="Calibri" w:eastAsia="Calibri" w:hAnsi="Calibri"/>
          <w:b w:val="false"/>
          <w:bCs w:val="false"/>
          <w:i w:val="false"/>
          <w:iCs w:val="false"/>
          <w:color w:val="1A1A1A"/>
          <w:sz w:val="22"/>
          <w:szCs w:val="22"/>
        </w:rPr>
        <w:t xml:space="preserve">[Your Organization] attests that the statements above accurately reflect the findings of its investigation as of the date of this letter, based on the evidence reviewed and the methodology applied. This attestation is limited to the scope described and to the evidence available during the engagement. It is not legal advice and does not constitute a legal opinion.</w:t>
      </w:r>
    </w:p>
    <w:p>
      <w:pPr>
        <w:keepNext/>
        <w:spacing w:after="60" w:before="160"/>
      </w:pPr>
      <w:r>
        <w:rPr>
          <w:rFonts w:ascii="Calibri" w:cs="Calibri" w:eastAsia="Calibri" w:hAnsi="Calibri"/>
          <w:b/>
          <w:bCs/>
          <w:color w:val="2F5496"/>
          <w:sz w:val="24"/>
          <w:szCs w:val="24"/>
        </w:rPr>
        <w:t xml:space="preserve">Referenced Documents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Incident Investigation Report, Trey Research, version 1.0, dated November 29, 2025 (Ref BEC-2025-1129).</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Engagement Letter / Statement of Work [reference and date].</w:t>
      </w:r>
    </w:p>
    <w:p>
      <w:pPr>
        <w:keepNext/>
        <w:spacing w:after="60" w:before="160"/>
      </w:pPr>
      <w:r>
        <w:rPr>
          <w:rFonts w:ascii="Calibri" w:cs="Calibri" w:eastAsia="Calibri" w:hAnsi="Calibri"/>
          <w:b/>
          <w:bCs/>
          <w:color w:val="2F5496"/>
          <w:sz w:val="24"/>
          <w:szCs w:val="24"/>
        </w:rPr>
        <w:t xml:space="preserve">Contact</w:t>
      </w:r>
    </w:p>
    <w:p>
      <w:pPr>
        <w:spacing w:after="120" w:before="0" w:line="264"/>
      </w:pPr>
      <w:r>
        <w:rPr>
          <w:rFonts w:ascii="Calibri" w:cs="Calibri" w:eastAsia="Calibri" w:hAnsi="Calibri"/>
          <w:b w:val="false"/>
          <w:bCs w:val="false"/>
          <w:i w:val="false"/>
          <w:iCs w:val="false"/>
          <w:color w:val="1A1A1A"/>
          <w:sz w:val="22"/>
          <w:szCs w:val="22"/>
        </w:rPr>
        <w:t xml:space="preserve">Questions regarding this attestation may be directed to the undersigned. Trey Research has authorized the named recipient to contact [Your Organization] on matters within the scope described above.</w:t>
      </w:r>
    </w:p>
    <w:p>
      <w:pPr>
        <w:spacing w:after="320" w:before="200" w:line="264"/>
      </w:pPr>
      <w:r>
        <w:rPr>
          <w:rFonts w:ascii="Calibri" w:cs="Calibri" w:eastAsia="Calibri" w:hAnsi="Calibri"/>
          <w:b w:val="false"/>
          <w:bCs w:val="false"/>
          <w:i w:val="false"/>
          <w:iCs w:val="false"/>
          <w:color w:val="1A1A1A"/>
          <w:sz w:val="22"/>
          <w:szCs w:val="22"/>
        </w:rPr>
        <w:t xml:space="preserve">Sincerely,</w:t>
      </w:r>
    </w:p>
    <w:p>
      <w:pPr>
        <w:spacing w:after="0" w:before="0" w:line="264"/>
      </w:pPr>
      <w:r>
        <w:rPr>
          <w:rFonts w:ascii="Calibri" w:cs="Calibri" w:eastAsia="Calibri" w:hAnsi="Calibri"/>
          <w:b/>
          <w:bCs/>
          <w:i w:val="false"/>
          <w:iCs w:val="false"/>
          <w:color w:val="1A1A1A"/>
          <w:sz w:val="22"/>
          <w:szCs w:val="22"/>
        </w:rPr>
        <w:t xml:space="preserve">[Signer Full Name]</w:t>
      </w:r>
    </w:p>
    <w:p>
      <w:pPr>
        <w:spacing w:after="0" w:before="0" w:line="264"/>
      </w:pPr>
      <w:r>
        <w:rPr>
          <w:rFonts w:ascii="Calibri" w:cs="Calibri" w:eastAsia="Calibri" w:hAnsi="Calibri"/>
          <w:b w:val="false"/>
          <w:bCs w:val="false"/>
          <w:i w:val="false"/>
          <w:iCs w:val="false"/>
          <w:color w:val="1A1A1A"/>
          <w:sz w:val="22"/>
          <w:szCs w:val="22"/>
        </w:rPr>
        <w:t xml:space="preserve">[Title], [Certifications]</w:t>
      </w:r>
    </w:p>
    <w:p>
      <w:pPr>
        <w:spacing w:after="0" w:before="0" w:line="264"/>
      </w:pPr>
      <w:r>
        <w:rPr>
          <w:rFonts w:ascii="Calibri" w:cs="Calibri" w:eastAsia="Calibri" w:hAnsi="Calibri"/>
          <w:b w:val="false"/>
          <w:bCs w:val="false"/>
          <w:i w:val="false"/>
          <w:iCs w:val="false"/>
          <w:color w:val="1A1A1A"/>
          <w:sz w:val="22"/>
          <w:szCs w:val="22"/>
        </w:rPr>
        <w:t xml:space="preserve">[Your Organization]</w:t>
      </w:r>
    </w:p>
    <w:p>
      <w:pPr>
        <w:spacing w:after="160" w:before="0" w:line="264"/>
      </w:pPr>
      <w:r>
        <w:rPr>
          <w:rFonts w:ascii="Calibri" w:cs="Calibri" w:eastAsia="Calibri" w:hAnsi="Calibri"/>
          <w:b w:val="false"/>
          <w:bCs w:val="false"/>
          <w:i w:val="false"/>
          <w:iCs w:val="false"/>
          <w:color w:val="1A1A1A"/>
          <w:sz w:val="22"/>
          <w:szCs w:val="22"/>
        </w:rPr>
        <w:t xml:space="preserve">[Direct Email] · [Direct Phone]</w:t>
      </w:r>
    </w:p>
    <w:p>
      <w:pPr>
        <w:spacing w:after="120" w:before="0" w:line="264"/>
      </w:pPr>
      <w:r>
        <w:rPr>
          <w:rFonts w:ascii="Calibri" w:cs="Calibri" w:eastAsia="Calibri" w:hAnsi="Calibri"/>
          <w:b w:val="false"/>
          <w:bCs w:val="false"/>
          <w:i/>
          <w:iCs/>
          <w:color w:val="666666"/>
          <w:sz w:val="20"/>
          <w:szCs w:val="20"/>
        </w:rPr>
        <w:t xml:space="preserve">This letter states facts about the investigation described above. It is not legal advice and is not a legal opinion on breach-notification obligations, which are the responsibility of the client and its counsel. Distribution is limited to the recipient named above and parties the client has authorized.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666666"/>
        <w:sz w:val="16"/>
        <w:szCs w:val="16"/>
      </w:rPr>
      <w:t xml:space="preserve">CONFIDENTIAL · Attestation · BEC-2025-1129</w:t>
    </w:r>
    <w:r>
      <w:rPr>
        <w:rFonts w:ascii="Calibri" w:cs="Calibri" w:eastAsia="Calibri" w:hAnsi="Calibri"/>
        <w:sz w:val="16"/>
        <w:szCs w:val="16"/>
      </w:rPr>
      <w:t xml:space="preserve">	</w:t>
    </w: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F5496"/>
      <w:sz w:val="28"/>
      <w:szCs w:val="28"/>
    </w:rPr>
  </w:style>
  <w:style w:type="paragraph" w:styleId="Heading2">
    <w:name w:val="Heading 2"/>
    <w:basedOn w:val="Normal"/>
    <w:next w:val="Normal"/>
    <w:qFormat/>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Trey Research Attestation Letter</dc:title>
  <dc:creator>[Your Organization]</dc:creator>
  <cp:lastModifiedBy>Un-named</cp:lastModifiedBy>
  <cp:revision>1</cp:revision>
  <dcterms:created xsi:type="dcterms:W3CDTF">2026-07-31T07:35:16.624Z</dcterms:created>
  <dcterms:modified xsi:type="dcterms:W3CDTF">2026-07-31T07:35:16.624Z</dcterms:modified>
</cp:coreProperties>
</file>

<file path=docProps/custom.xml><?xml version="1.0" encoding="utf-8"?>
<Properties xmlns="http://schemas.openxmlformats.org/officeDocument/2006/custom-properties" xmlns:vt="http://schemas.openxmlformats.org/officeDocument/2006/docPropsVTypes"/>
</file>