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Calibri" w:cs="Calibri" w:eastAsia="Calibri" w:hAnsi="Calibri"/>
          <w:color w:val="666666"/>
          <w:sz w:val="20"/>
          <w:szCs w:val="20"/>
        </w:rPr>
        <w:t xml:space="preserve">[LOGO]</w:t>
      </w:r>
    </w:p>
    <w:p>
      <w:pPr>
        <w:spacing w:after="80"/>
        <w:jc w:val="center"/>
      </w:pPr>
      <w:r>
        <w:rPr>
          <w:rFonts w:ascii="Calibri" w:cs="Calibri" w:eastAsia="Calibri" w:hAnsi="Calibri"/>
          <w:b/>
          <w:bCs/>
          <w:color w:val="666666"/>
          <w:sz w:val="22"/>
          <w:szCs w:val="22"/>
        </w:rPr>
        <w:t xml:space="preserve">BUSINESS EMAIL COMPROMISE</w:t>
      </w:r>
    </w:p>
    <w:p>
      <w:pPr>
        <w:spacing w:after="300"/>
        <w:jc w:val="center"/>
      </w:pPr>
      <w:r>
        <w:rPr>
          <w:rFonts w:ascii="Calibri" w:cs="Calibri" w:eastAsia="Calibri" w:hAnsi="Calibri"/>
          <w:b/>
          <w:bCs/>
          <w:color w:val="2F5496"/>
          <w:sz w:val="46"/>
          <w:szCs w:val="46"/>
        </w:rPr>
        <w:t xml:space="preserve">Incident Investigation Report</w:t>
      </w:r>
    </w:p>
    <w:p>
      <w:pPr>
        <w:spacing w:after="60"/>
        <w:jc w:val="center"/>
      </w:pPr>
      <w:r>
        <w:rPr>
          <w:rFonts w:ascii="Calibri" w:cs="Calibri" w:eastAsia="Calibri" w:hAnsi="Calibri"/>
          <w:b/>
          <w:bCs/>
          <w:color w:val="1A1A1A"/>
          <w:sz w:val="32"/>
          <w:szCs w:val="32"/>
        </w:rPr>
        <w:t xml:space="preserve">Trey Research</w:t>
      </w:r>
    </w:p>
    <w:p>
      <w:pPr>
        <w:spacing w:after="40"/>
        <w:jc w:val="center"/>
      </w:pPr>
      <w:r>
        <w:rPr>
          <w:rFonts w:ascii="Calibri" w:cs="Calibri" w:eastAsia="Calibri" w:hAnsi="Calibri"/>
          <w:color w:val="666666"/>
          <w:sz w:val="22"/>
          <w:szCs w:val="22"/>
        </w:rPr>
        <w:t xml:space="preserve">Primary M365 Domain: treyresearch.com</w:t>
      </w:r>
    </w:p>
    <w:p>
      <w:pPr>
        <w:spacing w:after="40"/>
        <w:jc w:val="center"/>
      </w:pPr>
      <w:r>
        <w:rPr>
          <w:rFonts w:ascii="Calibri" w:cs="Calibri" w:eastAsia="Calibri" w:hAnsi="Calibri"/>
          <w:color w:val="666666"/>
          <w:sz w:val="22"/>
          <w:szCs w:val="22"/>
        </w:rPr>
        <w:t xml:space="preserve">Report Date: November 29, 2025   |   Version 1.0</w:t>
      </w:r>
    </w:p>
    <w:p>
      <w:pPr>
        <w:spacing w:after="40"/>
        <w:jc w:val="center"/>
      </w:pPr>
      <w:r>
        <w:rPr>
          <w:rFonts w:ascii="Calibri" w:cs="Calibri" w:eastAsia="Calibri" w:hAnsi="Calibri"/>
          <w:color w:val="666666"/>
          <w:sz w:val="22"/>
          <w:szCs w:val="22"/>
        </w:rPr>
        <w:t xml:space="preserve">Incident Reference: BEC-2025-1129</w:t>
      </w:r>
    </w:p>
    <w:p>
      <w:pPr>
        <w:spacing w:before="400"/>
        <w:jc w:val="center"/>
      </w:pPr>
      <w:r>
        <w:rPr>
          <w:rFonts w:ascii="Calibri" w:cs="Calibri" w:eastAsia="Calibri" w:hAnsi="Calibri"/>
          <w:b/>
          <w:bCs/>
          <w:color w:val="666666"/>
          <w:sz w:val="20"/>
          <w:szCs w:val="20"/>
        </w:rPr>
        <w:t xml:space="preserve">CONFIDENTIAL</w:t>
      </w:r>
    </w:p>
    <w:p>
      <w:r>
        <w:br w:type="page"/>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Metadata</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880"/>
      </w:tblGrid>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Client / Organization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Trey Research</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Primary M365 Domain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treyresearch.com</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Prepared By</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Your Organization]</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Date</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Version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Classification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CONFIDENTIAL</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Reference ID</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BEC-2025-1129</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Distribution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[Named recipients only]</w:t>
            </w:r>
          </w:p>
        </w:tc>
      </w:tr>
    </w:tbl>
    <w:p>
      <w:pPr>
        <w:spacing w:after="120" w:before="80" w:line="264"/>
      </w:pPr>
      <w:r>
        <w:rPr>
          <w:rFonts w:ascii="Calibri" w:cs="Calibri" w:eastAsia="Calibri" w:hAnsi="Calibri"/>
          <w:b w:val="false"/>
          <w:bCs w:val="false"/>
          <w:i/>
          <w:iCs/>
          <w:color w:val="666666"/>
          <w:sz w:val="20"/>
          <w:szCs w:val="20"/>
        </w:rPr>
        <w:t xml:space="preserve">This report contains sensitive information. Handle according to the classification above. Do not distribute beyond the named recipients without authorization.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 Executive Summary</w:t>
      </w:r>
    </w:p>
    <w:p>
      <w:pPr>
        <w:pStyle w:val="Heading2"/>
        <w:keepNext/>
        <w:spacing w:after="80" w:before="180"/>
      </w:pPr>
      <w:r>
        <w:rPr>
          <w:rFonts w:ascii="Calibri" w:cs="Calibri" w:eastAsia="Calibri" w:hAnsi="Calibri"/>
          <w:b/>
          <w:bCs/>
          <w:color w:val="2F5496"/>
          <w:sz w:val="24"/>
          <w:szCs w:val="24"/>
        </w:rPr>
        <w:t xml:space="preserve">1.1 Summary of Incident</w:t>
      </w:r>
    </w:p>
    <w:p>
      <w:pPr>
        <w:spacing w:after="120" w:before="0" w:line="264"/>
      </w:pPr>
      <w:r>
        <w:rPr>
          <w:rFonts w:ascii="Calibri" w:cs="Calibri" w:eastAsia="Calibri" w:hAnsi="Calibri"/>
          <w:b w:val="false"/>
          <w:bCs w:val="false"/>
          <w:i w:val="false"/>
          <w:iCs w:val="false"/>
          <w:color w:val="1A1A1A"/>
          <w:sz w:val="22"/>
          <w:szCs w:val="22"/>
        </w:rPr>
        <w:t xml:space="preserve">On November 29, 2025, at approximately 13:08 UTC, an unauthorized third party accessed the Microsoft 365 mailbox belonging to “harris4@treyresearch.com” (display name Matthew3 Ward) at Trey Research. The threat actor authenticated from IP address 69.61.31.142 (Cyber Wurx LLC, Atlanta, Georgia, United States; AS22653), a hosting/VPS provider with a Scamalytics fraud score of 22, using Microsoft Edge on Windows Server 2022. No multi-factor authentication was enforced on the account and no Conditional Access policies applied, so a single valid credential was sufficient for full access.</w:t>
      </w:r>
    </w:p>
    <w:p>
      <w:pPr>
        <w:spacing w:after="120" w:before="0" w:line="264"/>
      </w:pPr>
      <w:r>
        <w:rPr>
          <w:rFonts w:ascii="Calibri" w:cs="Calibri" w:eastAsia="Calibri" w:hAnsi="Calibri"/>
          <w:b w:val="false"/>
          <w:bCs w:val="false"/>
          <w:i w:val="false"/>
          <w:iCs w:val="false"/>
          <w:color w:val="1A1A1A"/>
          <w:sz w:val="22"/>
          <w:szCs w:val="22"/>
        </w:rPr>
        <w:t xml:space="preserve">At 16:10 UTC the threat actor created a malicious catch-all inbox rule named “.” (rule identity 10010124807611351041) that marked all incoming messages as read and moved them to the Archive folder, concealing replies from the legitimate user. Beginning at 16:11 UTC, the threat actor sent 466 outbound messages to 451 unique recipients (18 internal and 433 external) with subjects including “FW: City of Rivera5” and “Re: City of Rivera5,” consistent with a large-scale phishing distribution campaign. The actor actively monitored the mailbox, replied to at least nine recipient responses, and deleted at least 48 items (32 from Archive, 16 from Sent Items) to conceal the activity.</w:t>
      </w:r>
    </w:p>
    <w:p>
      <w:pPr>
        <w:spacing w:after="120" w:before="0" w:line="264"/>
      </w:pPr>
      <w:r>
        <w:rPr>
          <w:rFonts w:ascii="Calibri" w:cs="Calibri" w:eastAsia="Calibri" w:hAnsi="Calibri"/>
          <w:b w:val="false"/>
          <w:bCs w:val="false"/>
          <w:i w:val="false"/>
          <w:iCs w:val="false"/>
          <w:color w:val="1A1A1A"/>
          <w:sz w:val="22"/>
          <w:szCs w:val="22"/>
        </w:rPr>
        <w:t xml:space="preserve">The investigation identified the suspect sign-in, removed the malicious inbox rule, blocked the account and revoked its sessions, and performed a tenant content search and purge that removed 29 phishing messages from 16 internal mailboxes. The threat actor held access for over five hours (13:08 to at least 18:23 UTC). The principal residual risk is to the external recipients of the phishing campaign, who should be notified.</w:t>
      </w:r>
    </w:p>
    <w:p>
      <w:pPr>
        <w:pStyle w:val="Heading2"/>
        <w:keepNext/>
        <w:spacing w:after="80" w:before="180"/>
      </w:pPr>
      <w:r>
        <w:rPr>
          <w:rFonts w:ascii="Calibri" w:cs="Calibri" w:eastAsia="Calibri" w:hAnsi="Calibri"/>
          <w:b/>
          <w:bCs/>
          <w:color w:val="2F5496"/>
          <w:sz w:val="24"/>
          <w:szCs w:val="24"/>
        </w:rPr>
        <w:t xml:space="preserve">1.2 Current Status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Status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Contained and Eradicated (external recipient notification is a client follow-up)</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Affected Accounts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 compromised sender (harris4@treyresearch.com); 16 internal recipient mailboxes remediated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Financial Loss (known)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confirmed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Data Exposure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Mailbox access confirmed; large-scale outbound phishing distribution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Regulatory Notification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 external recipients include government agencies and partners</w:t>
            </w:r>
          </w:p>
        </w:tc>
      </w:tr>
    </w:tbl>
    <w:p>
      <w:pPr>
        <w:pStyle w:val="Heading2"/>
        <w:keepNext/>
        <w:spacing w:after="80" w:before="180"/>
      </w:pPr>
      <w:r>
        <w:rPr>
          <w:rFonts w:ascii="Calibri" w:cs="Calibri" w:eastAsia="Calibri" w:hAnsi="Calibri"/>
          <w:b/>
          <w:bCs/>
          <w:color w:val="2F5496"/>
          <w:sz w:val="24"/>
          <w:szCs w:val="24"/>
        </w:rPr>
        <w:t xml:space="preserve">1.3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account had no MFA and no Conditional Access, so a single valid credential gave the threat actor full, unchallenged access from hosting infrastructure.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 catch-all inbox rule “.” (mark read, move to Archive) was used to hide recipient replies while the actor ran a 466-message phishing campaign to 451 unique recipients.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threat actor actively operated the mailbox for over five hours, replying to recipients and deleting 48 items to conceal the campaign.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 tenant content search identified and purged 29 phishing messages across 16 internal recipient mailboxes.</w:t>
      </w:r>
    </w:p>
    <w:p>
      <w:pPr>
        <w:pStyle w:val="Heading2"/>
        <w:keepNext/>
        <w:spacing w:after="80" w:before="180"/>
      </w:pPr>
      <w:r>
        <w:rPr>
          <w:rFonts w:ascii="Calibri" w:cs="Calibri" w:eastAsia="Calibri" w:hAnsi="Calibri"/>
          <w:b/>
          <w:bCs/>
          <w:color w:val="2F5496"/>
          <w:sz w:val="24"/>
          <w:szCs w:val="24"/>
        </w:rPr>
        <w:t xml:space="preserve">1.4 Priority Recommendations</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Enforce multi-factor authentication for all accounts; this account had none.</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Notify external recipients (including government agencies and partner organizations) that the “City of Rivera5” messages were not legitimate.</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Alert on inbox-rule creation (catch-all, single-character names, moves to Archive/RSS Feeds) and on high-volume outbound sends.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2. Incident Overview</w:t>
      </w:r>
    </w:p>
    <w:p>
      <w:pPr>
        <w:pStyle w:val="Heading2"/>
        <w:keepNext/>
        <w:spacing w:after="80" w:before="180"/>
      </w:pPr>
      <w:r>
        <w:rPr>
          <w:rFonts w:ascii="Calibri" w:cs="Calibri" w:eastAsia="Calibri" w:hAnsi="Calibri"/>
          <w:b/>
          <w:bCs/>
          <w:color w:val="2F5496"/>
          <w:sz w:val="24"/>
          <w:szCs w:val="24"/>
        </w:rPr>
        <w:t xml:space="preserve">2.1 Incident Details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Business Email Compromise (BEC)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Sub-category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Credential phishing (no MFA); mailbox used for phishing distribution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Initial Detection Date + Source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 coworker reports of unusual messages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Estimated Initial Compromise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 ~13:08 UTC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Date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 (account blocked; rule removed)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Eradication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 (content search and purge of 29 messages)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Duration (dwell time)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&gt; 5 hours (13:08 to at least 18:23 UTC)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Tenant Licensing Tier</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UAL available</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Unified Audit Log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Mailbox Auditing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r>
    </w:tbl>
    <w:p>
      <w:pPr>
        <w:pStyle w:val="Heading2"/>
        <w:keepNext/>
        <w:spacing w:after="80" w:before="180"/>
      </w:pPr>
      <w:r>
        <w:rPr>
          <w:rFonts w:ascii="Calibri" w:cs="Calibri" w:eastAsia="Calibri" w:hAnsi="Calibri"/>
          <w:b/>
          <w:bCs/>
          <w:color w:val="2F5496"/>
          <w:sz w:val="24"/>
          <w:szCs w:val="24"/>
        </w:rPr>
        <w:t xml:space="preserve">2.2 Investigation Engagement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Requested By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contact, Trey Research]</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Engagement Started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Investigator(s)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Certifications], [Your Organization]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Scope of Engagement</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Investigate coworker reports of unusual messages from harris4@treyresearch.com; scope compromise, persistence, outbound campaign, and internal impact.</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Constraints / Limitations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External recipient outcomes not observable from tenant logs; retention limits apply.</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3. Scope and Impact</w:t>
      </w:r>
    </w:p>
    <w:p>
      <w:pPr>
        <w:pStyle w:val="Heading2"/>
        <w:keepNext/>
        <w:spacing w:after="80" w:before="180"/>
      </w:pPr>
      <w:r>
        <w:rPr>
          <w:rFonts w:ascii="Calibri" w:cs="Calibri" w:eastAsia="Calibri" w:hAnsi="Calibri"/>
          <w:b/>
          <w:bCs/>
          <w:color w:val="2F5496"/>
          <w:sz w:val="24"/>
          <w:szCs w:val="24"/>
        </w:rPr>
        <w:t xml:space="preserve">3.1 Affected User Accounts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1700"/>
        <w:gridCol w:w="1700"/>
        <w:gridCol w:w="3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User (UPN)</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Compromise Type</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Impact Summary</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harris4@treyresearch.com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No-MFA credential compromise; catch-all rule; 466-message phishing send; concealment via deletions.</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16 internal recipient mailboxes</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Various</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Recipients</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Received phishing messages; 29 copies identified and purged.</w:t>
            </w:r>
          </w:p>
        </w:tc>
      </w:tr>
    </w:tbl>
    <w:p>
      <w:pPr>
        <w:pStyle w:val="Heading2"/>
        <w:keepNext/>
        <w:spacing w:after="80" w:before="180"/>
      </w:pPr>
      <w:r>
        <w:rPr>
          <w:rFonts w:ascii="Calibri" w:cs="Calibri" w:eastAsia="Calibri" w:hAnsi="Calibri"/>
          <w:b/>
          <w:bCs/>
          <w:color w:val="2F5496"/>
          <w:sz w:val="24"/>
          <w:szCs w:val="24"/>
        </w:rPr>
        <w:t xml:space="preserve">3.2 Financial Impact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5880"/>
      </w:tblGrid>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Confirmed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Attempted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confirmed; campaign was phishing distribution rather than direct invoice fraud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Recovered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Pending Recovery</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Business Disruption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Reputational; 433 external recipients contacted from a Trey Research address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Response &amp; Remediation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 be completed by client]</w:t>
            </w:r>
          </w:p>
        </w:tc>
      </w:tr>
    </w:tbl>
    <w:p>
      <w:pPr>
        <w:pStyle w:val="Heading2"/>
        <w:keepNext/>
        <w:spacing w:after="80" w:before="180"/>
      </w:pPr>
      <w:r>
        <w:rPr>
          <w:rFonts w:ascii="Calibri" w:cs="Calibri" w:eastAsia="Calibri" w:hAnsi="Calibri"/>
          <w:b/>
          <w:bCs/>
          <w:color w:val="2F5496"/>
          <w:sz w:val="24"/>
          <w:szCs w:val="24"/>
        </w:rPr>
        <w:t xml:space="preserve">3.3 Data Exposure</w:t>
      </w:r>
    </w:p>
    <w:p>
      <w:pPr>
        <w:spacing w:after="120" w:before="0" w:line="264"/>
      </w:pPr>
      <w:r>
        <w:rPr>
          <w:rFonts w:ascii="Calibri" w:cs="Calibri" w:eastAsia="Calibri" w:hAnsi="Calibri"/>
          <w:b w:val="false"/>
          <w:bCs w:val="false"/>
          <w:i w:val="false"/>
          <w:iCs w:val="false"/>
          <w:color w:val="1A1A1A"/>
          <w:sz w:val="22"/>
          <w:szCs w:val="22"/>
        </w:rPr>
        <w:t xml:space="preserve">The threat actor had full mailbox access for over five hours and could view mailbox contents. The dominant activity was outbound phishing distribution rather than targeted data theft. Detail is provided in Section 8.</w:t>
      </w:r>
    </w:p>
    <w:p>
      <w:pPr>
        <w:pStyle w:val="Heading2"/>
        <w:keepNext/>
        <w:spacing w:after="80" w:before="180"/>
      </w:pPr>
      <w:r>
        <w:rPr>
          <w:rFonts w:ascii="Calibri" w:cs="Calibri" w:eastAsia="Calibri" w:hAnsi="Calibri"/>
          <w:b/>
          <w:bCs/>
          <w:color w:val="2F5496"/>
          <w:sz w:val="24"/>
          <w:szCs w:val="24"/>
        </w:rPr>
        <w:t xml:space="preserve">3.4 Regulatory and Contractual Notification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2600"/>
        <w:gridCol w:w="4480"/>
      </w:tblGrid>
      <w:tr>
        <w:trPr>
          <w:tblHeader/>
        </w:trPr>
        <w:tc>
          <w:tcPr>
            <w:tcW w:type="dxa" w:w="3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Framework</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Preliminary Applicability</w:t>
            </w:r>
          </w:p>
        </w:tc>
        <w:tc>
          <w:tcPr>
            <w:tcW w:type="dxa" w:w="4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State Data Breach Laws</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Assess whether mailbox contents included regulated PII.</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Contractual</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External recipients include government and partner organizations; notification likely warranted.</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Cyber Insurance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to review carrier terms.</w:t>
            </w:r>
          </w:p>
        </w:tc>
      </w:tr>
    </w:tbl>
    <w:p>
      <w:pPr>
        <w:spacing w:after="120" w:before="60" w:line="264"/>
      </w:pPr>
      <w:r>
        <w:rPr>
          <w:rFonts w:ascii="Calibri" w:cs="Calibri" w:eastAsia="Calibri" w:hAnsi="Calibri"/>
          <w:b w:val="false"/>
          <w:bCs w:val="false"/>
          <w:i/>
          <w:iCs/>
          <w:color w:val="666666"/>
          <w:sz w:val="20"/>
          <w:szCs w:val="20"/>
        </w:rPr>
        <w:t xml:space="preserve">Final legal determinations regarding notification obligations are the responsibility of the client and its counsel, not the investigator.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4. Investigation Methodology</w:t>
      </w:r>
    </w:p>
    <w:p>
      <w:pPr>
        <w:pStyle w:val="Heading2"/>
        <w:keepNext/>
        <w:spacing w:after="80" w:before="180"/>
      </w:pPr>
      <w:r>
        <w:rPr>
          <w:rFonts w:ascii="Calibri" w:cs="Calibri" w:eastAsia="Calibri" w:hAnsi="Calibri"/>
          <w:b/>
          <w:bCs/>
          <w:color w:val="2F5496"/>
          <w:sz w:val="24"/>
          <w:szCs w:val="24"/>
        </w:rPr>
        <w:t xml:space="preserve">4.1 Investigation Approach</w:t>
      </w:r>
    </w:p>
    <w:p>
      <w:pPr>
        <w:spacing w:after="120" w:before="0" w:line="264"/>
      </w:pPr>
      <w:r>
        <w:rPr>
          <w:rFonts w:ascii="Calibri" w:cs="Calibri" w:eastAsia="Calibri" w:hAnsi="Calibri"/>
          <w:b w:val="false"/>
          <w:bCs w:val="false"/>
          <w:i w:val="false"/>
          <w:iCs w:val="false"/>
          <w:color w:val="1A1A1A"/>
          <w:sz w:val="22"/>
          <w:szCs w:val="22"/>
        </w:rPr>
        <w:t xml:space="preserve">The investigation followed a Microsoft 365 BEC playbook. The threat-actor sign-in was isolated by IP and correlated across sign-in logs, the Unified Audit Log, inbox-rule change logs, and message trace to reconstruct rule creation, the outbound campaign, recipient engagement, and concealment deletions.</w:t>
      </w:r>
    </w:p>
    <w:p>
      <w:pPr>
        <w:spacing w:after="120" w:before="0" w:line="264"/>
      </w:pPr>
      <w:r>
        <w:rPr>
          <w:rFonts w:ascii="Calibri" w:cs="Calibri" w:eastAsia="Calibri" w:hAnsi="Calibri"/>
          <w:b w:val="false"/>
          <w:bCs w:val="false"/>
          <w:i w:val="false"/>
          <w:iCs w:val="false"/>
          <w:color w:val="1A1A1A"/>
          <w:sz w:val="22"/>
          <w:szCs w:val="22"/>
        </w:rPr>
        <w:t xml:space="preserve">The internal blast radius was scoped with a tenant content search, which located and purged phishing copies in recipient mailboxes. Persistence was assessed by reviewing rules, forwarding, delegation, and OAuth grants.</w:t>
      </w:r>
    </w:p>
    <w:p>
      <w:pPr>
        <w:pStyle w:val="Heading2"/>
        <w:keepNext/>
        <w:spacing w:after="80" w:before="180"/>
      </w:pPr>
      <w:r>
        <w:rPr>
          <w:rFonts w:ascii="Calibri" w:cs="Calibri" w:eastAsia="Calibri" w:hAnsi="Calibri"/>
          <w:b/>
          <w:bCs/>
          <w:color w:val="2F5496"/>
          <w:sz w:val="24"/>
          <w:szCs w:val="24"/>
        </w:rPr>
        <w:t xml:space="preserve">4.2 Evidence Sources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2400"/>
        <w:gridCol w:w="3480"/>
      </w:tblGrid>
      <w:tr>
        <w:trPr>
          <w:tblHeader/>
        </w:trPr>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Source</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Retention Period</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Collected (range)</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Interactive Sign-In Logs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 22 – Nov 29, 2025 (44 account events; 5 from TA IP)</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Unified Audit Log (UAL)</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 26 – Nov 29, 2025 (76 entries from TA IP)</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 19 – Nov 29, 2025</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Exchange Message Trace</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 26 – Nov 30, 2025 (466 sent messages)</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 Purge Results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Point-in-time</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 29, 2025 (29 messages, 16 mailboxes)</w:t>
            </w:r>
          </w:p>
        </w:tc>
      </w:tr>
    </w:tbl>
    <w:p>
      <w:pPr>
        <w:pStyle w:val="Heading2"/>
        <w:keepNext/>
        <w:spacing w:after="80" w:before="180"/>
      </w:pPr>
      <w:r>
        <w:rPr>
          <w:rFonts w:ascii="Calibri" w:cs="Calibri" w:eastAsia="Calibri" w:hAnsi="Calibri"/>
          <w:b/>
          <w:bCs/>
          <w:color w:val="2F5496"/>
          <w:sz w:val="24"/>
          <w:szCs w:val="24"/>
        </w:rPr>
        <w:t xml:space="preserve">4.3 Tools and Scripts Used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M365IRScripts collection (https://github.com/bitpusher2k/M365IRScripts).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Graph PowerShell SDK.</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Exchange Online PowerShell module.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Defender and Purview portals (compliance search and purge).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IP reputation and enrichment services (GeoLite2, ipapi.is, Scamalytics, findip.net).</w:t>
      </w:r>
    </w:p>
    <w:p>
      <w:pPr>
        <w:pStyle w:val="Heading2"/>
        <w:keepNext/>
        <w:spacing w:after="80" w:before="180"/>
      </w:pPr>
      <w:r>
        <w:rPr>
          <w:rFonts w:ascii="Calibri" w:cs="Calibri" w:eastAsia="Calibri" w:hAnsi="Calibri"/>
          <w:b/>
          <w:bCs/>
          <w:color w:val="2F5496"/>
          <w:sz w:val="24"/>
          <w:szCs w:val="24"/>
        </w:rPr>
        <w:t xml:space="preserve">4.4 Chain of Custody and Evidence Handling</w:t>
      </w:r>
    </w:p>
    <w:p>
      <w:pPr>
        <w:spacing w:after="120" w:before="0" w:line="264"/>
      </w:pPr>
      <w:r>
        <w:rPr>
          <w:rFonts w:ascii="Calibri" w:cs="Calibri" w:eastAsia="Calibri" w:hAnsi="Calibri"/>
          <w:b w:val="false"/>
          <w:bCs w:val="false"/>
          <w:i w:val="false"/>
          <w:iCs w:val="false"/>
          <w:color w:val="1A1A1A"/>
          <w:sz w:val="22"/>
          <w:szCs w:val="22"/>
        </w:rPr>
        <w:t xml:space="preserve">Collected artifacts (CSV/JSON/TXT log exports and processed, IP-enriched workbooks) were retained in a restricted-access case folder limited to assigned investigators. Exports were preserved in their original form alongside processed copies, and file integrity was maintained through controlled, read-only handling of the source exports. Artifacts are retained per the engagement's retention terms.</w:t>
      </w:r>
    </w:p>
    <w:p>
      <w:pPr>
        <w:pStyle w:val="Heading2"/>
        <w:keepNext/>
        <w:spacing w:after="80" w:before="180"/>
      </w:pPr>
      <w:r>
        <w:rPr>
          <w:rFonts w:ascii="Calibri" w:cs="Calibri" w:eastAsia="Calibri" w:hAnsi="Calibri"/>
          <w:b/>
          <w:bCs/>
          <w:color w:val="2F5496"/>
          <w:sz w:val="24"/>
          <w:szCs w:val="24"/>
        </w:rPr>
        <w:t xml:space="preserve">4.5 Assumptions and Limitations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External recipient outcomes (whether any recipient acted on the phishing) cannot be observed from Trey Research’s tenant logs.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count of concealment deletions (48) reflects items observed in the UAL and may understate deletions outside the collected window.</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Timestamps are in UTC.</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5. Timeline of Events</w:t>
      </w:r>
    </w:p>
    <w:p>
      <w:pPr>
        <w:spacing w:after="120" w:before="0" w:line="264"/>
      </w:pPr>
      <w:r>
        <w:rPr>
          <w:rFonts w:ascii="Calibri" w:cs="Calibri" w:eastAsia="Calibri" w:hAnsi="Calibri"/>
          <w:b w:val="false"/>
          <w:bCs w:val="false"/>
          <w:i/>
          <w:iCs/>
          <w:color w:val="666666"/>
          <w:sz w:val="20"/>
          <w:szCs w:val="20"/>
        </w:rPr>
        <w:t xml:space="preserve">All times are in UTC unless otherwise noted.</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350"/>
        <w:gridCol w:w="4400"/>
        <w:gridCol w:w="2380"/>
      </w:tblGrid>
      <w:tr>
        <w:trPr>
          <w:tblHeader/>
        </w:trPr>
        <w:tc>
          <w:tcPr>
            <w:tcW w:type="dxa" w:w="19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13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Actor</w:t>
            </w:r>
          </w:p>
        </w:tc>
        <w:tc>
          <w:tcPr>
            <w:tcW w:type="dxa" w:w="4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Event</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Evidence Source</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 13:08</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from 69.61.31.142 (Cyber Wurx, Atlanta), Edge / Windows Server 2022</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 13:08–16:10</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Mailbox access; reconnaissance of existing threads (e.g., City of Rivera5)</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UAL</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 16:10</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Created catch-all inbox rule “.” (mark read, move to Archive)</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 / UAL</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 16:11–18:15</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Sent 466 messages to 451 recipients (18 internal, 433 external)</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Message Trace</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 (ongoing)</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Replied to ≥9 recipient responses; deleted 48 items (32 Archive, 16 Sent) to conceal</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UAL</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Identified TA sign-in; blocked account; revoked sessions/tokens</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malicious inbox rule “.”</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 purge of 29 phishing messages across 16 mailboxes</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Results</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6. Technical Findings</w:t>
      </w:r>
    </w:p>
    <w:p>
      <w:pPr>
        <w:pStyle w:val="Heading2"/>
        <w:keepNext/>
        <w:spacing w:after="80" w:before="180"/>
      </w:pPr>
      <w:r>
        <w:rPr>
          <w:rFonts w:ascii="Calibri" w:cs="Calibri" w:eastAsia="Calibri" w:hAnsi="Calibri"/>
          <w:b/>
          <w:bCs/>
          <w:color w:val="2F5496"/>
          <w:sz w:val="24"/>
          <w:szCs w:val="24"/>
        </w:rPr>
        <w:t xml:space="preserve">6.1 Initial Access</w:t>
      </w:r>
    </w:p>
    <w:p>
      <w:pPr>
        <w:spacing w:after="120" w:before="0" w:line="264"/>
      </w:pPr>
      <w:r>
        <w:rPr>
          <w:rFonts w:ascii="Calibri" w:cs="Calibri" w:eastAsia="Calibri" w:hAnsi="Calibri"/>
          <w:b w:val="false"/>
          <w:bCs w:val="false"/>
          <w:i w:val="false"/>
          <w:iCs w:val="false"/>
          <w:color w:val="1A1A1A"/>
          <w:sz w:val="22"/>
          <w:szCs w:val="22"/>
        </w:rPr>
        <w:t xml:space="preserve">Initial access was via a valid credential on an account protected by password only. With no MFA and no Conditional Access, the threat actor authenticated directly from hosting infrastructure. The specific credential-theft vector (phishing) is inferred; the account showed no secondary factor to bypass.</w:t>
      </w:r>
    </w:p>
    <w:p>
      <w:pPr>
        <w:pStyle w:val="Heading2"/>
        <w:keepNext/>
        <w:spacing w:after="80" w:before="180"/>
      </w:pPr>
      <w:r>
        <w:rPr>
          <w:rFonts w:ascii="Calibri" w:cs="Calibri" w:eastAsia="Calibri" w:hAnsi="Calibri"/>
          <w:b/>
          <w:bCs/>
          <w:color w:val="2F5496"/>
          <w:sz w:val="24"/>
          <w:szCs w:val="24"/>
        </w:rPr>
        <w:t xml:space="preserve">6.2 Authentication and Session Establishment</w:t>
      </w:r>
    </w:p>
    <w:p>
      <w:pPr>
        <w:spacing w:after="120" w:before="0" w:line="264"/>
      </w:pPr>
      <w:r>
        <w:rPr>
          <w:rFonts w:ascii="Calibri" w:cs="Calibri" w:eastAsia="Calibri" w:hAnsi="Calibri"/>
          <w:b w:val="false"/>
          <w:bCs w:val="false"/>
          <w:i w:val="false"/>
          <w:iCs w:val="false"/>
          <w:color w:val="1A1A1A"/>
          <w:sz w:val="22"/>
          <w:szCs w:val="22"/>
        </w:rPr>
        <w:t xml:space="preserve">The threat actor authenticated from 69.61.31.142 (Cyber Wurx LLC, Atlanta, Georgia; AS22653), a hosting/VPS provider, using Microsoft Edge on Windows Server 2022 (an operating system atypical for an end user, consistent with a server/VPS-based operation). Five sign-in events from this IP were recorded against the account. This contrasts with the user’s normal workstation-based access.</w:t>
      </w:r>
    </w:p>
    <w:p>
      <w:pPr>
        <w:pStyle w:val="Heading2"/>
        <w:keepNext/>
        <w:spacing w:after="80" w:before="180"/>
      </w:pPr>
      <w:r>
        <w:rPr>
          <w:rFonts w:ascii="Calibri" w:cs="Calibri" w:eastAsia="Calibri" w:hAnsi="Calibri"/>
          <w:b/>
          <w:bCs/>
          <w:color w:val="2F5496"/>
          <w:sz w:val="24"/>
          <w:szCs w:val="24"/>
        </w:rPr>
        <w:t xml:space="preserve">6.3 Persistence Mechanisms</w:t>
      </w:r>
    </w:p>
    <w:p>
      <w:pPr>
        <w:spacing w:after="120" w:before="0" w:line="264"/>
      </w:pPr>
      <w:r>
        <w:rPr>
          <w:rFonts w:ascii="Calibri" w:cs="Calibri" w:eastAsia="Calibri" w:hAnsi="Calibri"/>
          <w:b w:val="false"/>
          <w:bCs w:val="false"/>
          <w:i w:val="false"/>
          <w:iCs w:val="false"/>
          <w:color w:val="1A1A1A"/>
          <w:sz w:val="22"/>
          <w:szCs w:val="22"/>
        </w:rPr>
        <w:t xml:space="preserve">The threat actor established a single persistence and concealment mechanism: a catch-all inbox rule.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Inbox Rules: created rule “.” (identity 10010124807611351041), mark all incoming as read and move to Archive, hiding replies from the user.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 Forwarding: none configured.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Delegate / Mailbox Permissions: no changes.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OAuth Application Consents: none granted.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Tenant-Level Changes: none observed.</w:t>
      </w:r>
    </w:p>
    <w:p>
      <w:pPr>
        <w:pStyle w:val="Heading2"/>
        <w:keepNext/>
        <w:spacing w:after="80" w:before="180"/>
      </w:pPr>
      <w:r>
        <w:rPr>
          <w:rFonts w:ascii="Calibri" w:cs="Calibri" w:eastAsia="Calibri" w:hAnsi="Calibri"/>
          <w:b/>
          <w:bCs/>
          <w:color w:val="2F5496"/>
          <w:sz w:val="24"/>
          <w:szCs w:val="24"/>
        </w:rPr>
        <w:t xml:space="preserve">6.4 Reconnaissance and Collection</w:t>
      </w:r>
    </w:p>
    <w:p>
      <w:pPr>
        <w:spacing w:after="120" w:before="0" w:line="264"/>
      </w:pPr>
      <w:r>
        <w:rPr>
          <w:rFonts w:ascii="Calibri" w:cs="Calibri" w:eastAsia="Calibri" w:hAnsi="Calibri"/>
          <w:b w:val="false"/>
          <w:bCs w:val="false"/>
          <w:i w:val="false"/>
          <w:iCs w:val="false"/>
          <w:color w:val="1A1A1A"/>
          <w:sz w:val="22"/>
          <w:szCs w:val="22"/>
        </w:rPr>
        <w:t xml:space="preserve">The threat actor reviewed existing mail threads to select a lure (the “City of Rivera5” thread) before launching the campaign, then used the mailbox’s existing contacts and threads to maximize deliverability.</w:t>
      </w:r>
    </w:p>
    <w:p>
      <w:pPr>
        <w:pStyle w:val="Heading2"/>
        <w:keepNext/>
        <w:spacing w:after="80" w:before="180"/>
      </w:pPr>
      <w:r>
        <w:rPr>
          <w:rFonts w:ascii="Calibri" w:cs="Calibri" w:eastAsia="Calibri" w:hAnsi="Calibri"/>
          <w:b/>
          <w:bCs/>
          <w:color w:val="2F5496"/>
          <w:sz w:val="24"/>
          <w:szCs w:val="24"/>
        </w:rPr>
        <w:t xml:space="preserve">6.5 Lateral Movement</w:t>
      </w:r>
    </w:p>
    <w:p>
      <w:pPr>
        <w:spacing w:after="120" w:before="0" w:line="264"/>
      </w:pPr>
      <w:r>
        <w:rPr>
          <w:rFonts w:ascii="Calibri" w:cs="Calibri" w:eastAsia="Calibri" w:hAnsi="Calibri"/>
          <w:b w:val="false"/>
          <w:bCs w:val="false"/>
          <w:i w:val="false"/>
          <w:iCs w:val="false"/>
          <w:color w:val="1A1A1A"/>
          <w:sz w:val="22"/>
          <w:szCs w:val="22"/>
        </w:rPr>
        <w:t xml:space="preserve">Eighteen of the 466 messages targeted internal Trey Research mailboxes, seeding potential internal compromise; no confirmed secondary account takeover was identified during the review. Internal recipients were remediated via purge.</w:t>
      </w:r>
    </w:p>
    <w:p>
      <w:pPr>
        <w:pStyle w:val="Heading2"/>
        <w:keepNext/>
        <w:spacing w:after="80" w:before="180"/>
      </w:pPr>
      <w:r>
        <w:rPr>
          <w:rFonts w:ascii="Calibri" w:cs="Calibri" w:eastAsia="Calibri" w:hAnsi="Calibri"/>
          <w:b/>
          <w:bCs/>
          <w:color w:val="2F5496"/>
          <w:sz w:val="24"/>
          <w:szCs w:val="24"/>
        </w:rPr>
        <w:t xml:space="preserve">6.6 Exfiltration</w:t>
      </w:r>
    </w:p>
    <w:p>
      <w:pPr>
        <w:spacing w:after="120" w:before="0" w:line="264"/>
      </w:pPr>
      <w:r>
        <w:rPr>
          <w:rFonts w:ascii="Calibri" w:cs="Calibri" w:eastAsia="Calibri" w:hAnsi="Calibri"/>
          <w:b w:val="false"/>
          <w:bCs w:val="false"/>
          <w:i w:val="false"/>
          <w:iCs w:val="false"/>
          <w:color w:val="1A1A1A"/>
          <w:sz w:val="22"/>
          <w:szCs w:val="22"/>
        </w:rPr>
        <w:t xml:space="preserve">No bulk mailbox export was observed. The mailbox was used as a distribution platform rather than for targeted data theft.</w:t>
      </w:r>
    </w:p>
    <w:p>
      <w:pPr>
        <w:pStyle w:val="Heading2"/>
        <w:keepNext/>
        <w:spacing w:after="80" w:before="180"/>
      </w:pPr>
      <w:r>
        <w:rPr>
          <w:rFonts w:ascii="Calibri" w:cs="Calibri" w:eastAsia="Calibri" w:hAnsi="Calibri"/>
          <w:b/>
          <w:bCs/>
          <w:color w:val="2F5496"/>
          <w:sz w:val="24"/>
          <w:szCs w:val="24"/>
        </w:rPr>
        <w:t xml:space="preserve">6.7 Impact Actions</w:t>
      </w:r>
    </w:p>
    <w:p>
      <w:pPr>
        <w:spacing w:after="120" w:before="0" w:line="264"/>
      </w:pPr>
      <w:r>
        <w:rPr>
          <w:rFonts w:ascii="Calibri" w:cs="Calibri" w:eastAsia="Calibri" w:hAnsi="Calibri"/>
          <w:b w:val="false"/>
          <w:bCs w:val="false"/>
          <w:i w:val="false"/>
          <w:iCs w:val="false"/>
          <w:color w:val="1A1A1A"/>
          <w:sz w:val="22"/>
          <w:szCs w:val="22"/>
        </w:rPr>
        <w:t xml:space="preserve">The end objective was large-scale phishing distribution. The threat actor sent 466 messages to 451 unique recipients (18 internal, 433 external) between 16:11 and 18:15 UTC, primarily forwarding a message with the subject “FW: City of Rivera5.” The campaign reached government agencies and partner organizations. The actor replied to recipient responses to sustain engagement and deleted sent copies and bouncebacks to conceal the campaign from the account holder.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7. Indicators of Compromise (IOCs)</w:t>
      </w:r>
    </w:p>
    <w:p>
      <w:pPr>
        <w:pStyle w:val="Heading2"/>
        <w:keepNext/>
        <w:spacing w:after="80" w:before="180"/>
      </w:pPr>
      <w:r>
        <w:rPr>
          <w:rFonts w:ascii="Calibri" w:cs="Calibri" w:eastAsia="Calibri" w:hAnsi="Calibri"/>
          <w:b/>
          <w:bCs/>
          <w:color w:val="2F5496"/>
          <w:sz w:val="24"/>
          <w:szCs w:val="24"/>
        </w:rPr>
        <w:t xml:space="preserve">7.1 Network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3700"/>
        <w:gridCol w:w="1900"/>
        <w:gridCol w:w="3080"/>
      </w:tblGrid>
      <w:tr>
        <w:trPr>
          <w:tblHeader/>
        </w:trPr>
        <w:tc>
          <w:tcPr>
            <w:tcW w:type="dxa" w:w="15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3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First Seen (UTC)</w:t>
            </w:r>
          </w:p>
        </w:tc>
        <w:tc>
          <w:tcPr>
            <w:tcW w:type="dxa" w:w="30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1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IPv4</w:t>
            </w:r>
          </w:p>
        </w:tc>
        <w:tc>
          <w:tcPr>
            <w:tcW w:type="dxa" w:w="37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69.61.31.142</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 13:08</w:t>
            </w:r>
          </w:p>
        </w:tc>
        <w:tc>
          <w:tcPr>
            <w:tcW w:type="dxa" w:w="3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Cyber Wurx LLC, Atlanta, GA; AS22653; hosting/VPS; Scamalytics 22</w:t>
            </w:r>
          </w:p>
        </w:tc>
      </w:tr>
    </w:tbl>
    <w:p>
      <w:pPr>
        <w:pStyle w:val="Heading2"/>
        <w:keepNext/>
        <w:spacing w:after="80" w:before="180"/>
      </w:pPr>
      <w:r>
        <w:rPr>
          <w:rFonts w:ascii="Calibri" w:cs="Calibri" w:eastAsia="Calibri" w:hAnsi="Calibri"/>
          <w:b/>
          <w:bCs/>
          <w:color w:val="2F5496"/>
          <w:sz w:val="24"/>
          <w:szCs w:val="24"/>
        </w:rPr>
        <w:t xml:space="preserve">7.2 Identity and Session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200"/>
        <w:gridCol w:w="34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User Agent / OS</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Microsoft Edge on Windows Server 2022</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Server/VPS OS atypical for an end user</w:t>
            </w:r>
          </w:p>
        </w:tc>
      </w:tr>
    </w:tbl>
    <w:p>
      <w:pPr>
        <w:pStyle w:val="Heading2"/>
        <w:keepNext/>
        <w:spacing w:after="80" w:before="180"/>
      </w:pPr>
      <w:r>
        <w:rPr>
          <w:rFonts w:ascii="Calibri" w:cs="Calibri" w:eastAsia="Calibri" w:hAnsi="Calibri"/>
          <w:b/>
          <w:bCs/>
          <w:color w:val="2F5496"/>
          <w:sz w:val="24"/>
          <w:szCs w:val="24"/>
        </w:rPr>
        <w:t xml:space="preserve">7.3 Email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4600"/>
        <w:gridCol w:w="3280"/>
      </w:tblGrid>
      <w:tr>
        <w:trPr>
          <w:tblHeader/>
        </w:trPr>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Field</w:t>
            </w:r>
          </w:p>
        </w:tc>
        <w:tc>
          <w:tcPr>
            <w:tcW w:type="dxa" w:w="4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Value</w:t>
            </w:r>
          </w:p>
        </w:tc>
        <w:tc>
          <w:tcPr>
            <w:tcW w:type="dxa" w:w="32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Subject</w:t>
            </w:r>
          </w:p>
        </w:tc>
        <w:tc>
          <w:tcPr>
            <w:tcW w:type="dxa" w:w="4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FW: City of Rivera5</w:t>
            </w:r>
          </w:p>
        </w:tc>
        <w:tc>
          <w:tcPr>
            <w:tcW w:type="dxa" w:w="32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Primary phishing lure subject (also “Re: City of Rivera5”)</w:t>
            </w:r>
          </w:p>
        </w:tc>
      </w:tr>
      <w:tr>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Volume</w:t>
            </w:r>
          </w:p>
        </w:tc>
        <w:tc>
          <w:tcPr>
            <w:tcW w:type="dxa" w:w="4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466 messages / 451 recipients</w:t>
            </w:r>
          </w:p>
        </w:tc>
        <w:tc>
          <w:tcPr>
            <w:tcW w:type="dxa" w:w="32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18 internal, 433 external; 16:11–18:15 UTC</w:t>
            </w:r>
          </w:p>
        </w:tc>
      </w:tr>
    </w:tbl>
    <w:p>
      <w:pPr>
        <w:pStyle w:val="Heading2"/>
        <w:keepNext/>
        <w:spacing w:after="80" w:before="180"/>
      </w:pPr>
      <w:r>
        <w:rPr>
          <w:rFonts w:ascii="Calibri" w:cs="Calibri" w:eastAsia="Calibri" w:hAnsi="Calibri"/>
          <w:b/>
          <w:bCs/>
          <w:color w:val="2F5496"/>
          <w:sz w:val="24"/>
          <w:szCs w:val="24"/>
        </w:rPr>
        <w:t xml:space="preserve">7.4 Application and Persistence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200"/>
        <w:gridCol w:w="34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 (identity 10010124807611351041)</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Mark read + move to Archive; catch-all concealment</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8. Data Exposure Assessment</w:t>
      </w:r>
    </w:p>
    <w:p>
      <w:pPr>
        <w:pStyle w:val="Heading2"/>
        <w:keepNext/>
        <w:spacing w:after="80" w:before="180"/>
      </w:pPr>
      <w:r>
        <w:rPr>
          <w:rFonts w:ascii="Calibri" w:cs="Calibri" w:eastAsia="Calibri" w:hAnsi="Calibri"/>
          <w:b/>
          <w:bCs/>
          <w:color w:val="2F5496"/>
          <w:sz w:val="24"/>
          <w:szCs w:val="24"/>
        </w:rPr>
        <w:t xml:space="preserve">8.1 Methodology</w:t>
      </w:r>
    </w:p>
    <w:p>
      <w:pPr>
        <w:spacing w:after="120" w:before="0" w:line="264"/>
      </w:pPr>
      <w:r>
        <w:rPr>
          <w:rFonts w:ascii="Calibri" w:cs="Calibri" w:eastAsia="Calibri" w:hAnsi="Calibri"/>
          <w:b w:val="false"/>
          <w:bCs w:val="false"/>
          <w:i w:val="false"/>
          <w:iCs w:val="false"/>
          <w:color w:val="1A1A1A"/>
          <w:sz w:val="22"/>
          <w:szCs w:val="22"/>
        </w:rPr>
        <w:t xml:space="preserve">Exposure was assessed from UAL activity, message trace, and content-search results. The focus was the outbound campaign’s reach and the internal blast radius rather than item-level reads, which were not the actor’s objective.</w:t>
      </w:r>
    </w:p>
    <w:p>
      <w:pPr>
        <w:pStyle w:val="Heading2"/>
        <w:keepNext/>
        <w:spacing w:after="80" w:before="180"/>
      </w:pPr>
      <w:r>
        <w:rPr>
          <w:rFonts w:ascii="Calibri" w:cs="Calibri" w:eastAsia="Calibri" w:hAnsi="Calibri"/>
          <w:b/>
          <w:bCs/>
          <w:color w:val="2F5496"/>
          <w:sz w:val="24"/>
          <w:szCs w:val="24"/>
        </w:rPr>
        <w:t xml:space="preserve">8.2 Mailbox Content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1900"/>
        <w:gridCol w:w="2400"/>
        <w:gridCol w:w="2380"/>
      </w:tblGrid>
      <w:tr>
        <w:trPr>
          <w:tblHeader/>
        </w:trPr>
        <w:tc>
          <w:tcPr>
            <w:tcW w:type="dxa" w:w="28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Affected User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Messages Accessed</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 Window</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Content Categories</w:t>
            </w:r>
          </w:p>
        </w:tc>
      </w:tr>
      <w:tr>
        <w:tc>
          <w:tcPr>
            <w:tcW w:type="dxa" w:w="28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harris4@treyresearch.com</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Full access (contents viewable)</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13:08–18:23 UTC, Nov 29</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General mailbox contents; existing threads used as lures</w:t>
            </w:r>
          </w:p>
        </w:tc>
      </w:tr>
    </w:tbl>
    <w:p>
      <w:pPr>
        <w:pStyle w:val="Heading2"/>
        <w:keepNext/>
        <w:spacing w:after="80" w:before="180"/>
      </w:pPr>
      <w:r>
        <w:rPr>
          <w:rFonts w:ascii="Calibri" w:cs="Calibri" w:eastAsia="Calibri" w:hAnsi="Calibri"/>
          <w:b/>
          <w:bCs/>
          <w:color w:val="2F5496"/>
          <w:sz w:val="24"/>
          <w:szCs w:val="24"/>
        </w:rPr>
        <w:t xml:space="preserve">8.3 File and Document Exposure</w:t>
      </w:r>
    </w:p>
    <w:p>
      <w:pPr>
        <w:spacing w:after="120" w:before="0" w:line="264"/>
      </w:pPr>
      <w:r>
        <w:rPr>
          <w:rFonts w:ascii="Calibri" w:cs="Calibri" w:eastAsia="Calibri" w:hAnsi="Calibri"/>
          <w:b w:val="false"/>
          <w:bCs w:val="false"/>
          <w:i w:val="false"/>
          <w:iCs w:val="false"/>
          <w:color w:val="1A1A1A"/>
          <w:sz w:val="22"/>
          <w:szCs w:val="22"/>
        </w:rPr>
        <w:t xml:space="preserve">No SharePoint or OneDrive file access by the threat actor was identified within the available audit scope.</w:t>
      </w:r>
    </w:p>
    <w:p>
      <w:pPr>
        <w:pStyle w:val="Heading2"/>
        <w:keepNext/>
        <w:spacing w:after="80" w:before="180"/>
      </w:pPr>
      <w:r>
        <w:rPr>
          <w:rFonts w:ascii="Calibri" w:cs="Calibri" w:eastAsia="Calibri" w:hAnsi="Calibri"/>
          <w:b/>
          <w:bCs/>
          <w:color w:val="2F5496"/>
          <w:sz w:val="24"/>
          <w:szCs w:val="24"/>
        </w:rPr>
        <w:t xml:space="preserve">8.4 Regulatory-Significant Data Categories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Category</w:t>
            </w:r>
          </w:p>
        </w:tc>
        <w:tc>
          <w:tcPr>
            <w:tcW w:type="dxa" w:w="6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Finding</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PII</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Possible in mailbox contents; no targeted extraction evidenced. Under review.</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Government/Partner Correspondence</w:t>
            </w:r>
          </w:p>
        </w:tc>
        <w:tc>
          <w:tcPr>
            <w:tcW w:type="dxa" w:w="6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External recipients include government agencies and partners (deliverability, not necessarily content theft).</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PHI / PCI</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bl>
    <w:p>
      <w:pPr>
        <w:pStyle w:val="Heading2"/>
        <w:keepNext/>
        <w:spacing w:after="80" w:before="180"/>
      </w:pPr>
      <w:r>
        <w:rPr>
          <w:rFonts w:ascii="Calibri" w:cs="Calibri" w:eastAsia="Calibri" w:hAnsi="Calibri"/>
          <w:b/>
          <w:bCs/>
          <w:color w:val="2F5496"/>
          <w:sz w:val="24"/>
          <w:szCs w:val="24"/>
        </w:rPr>
        <w:t xml:space="preserve">8.5 Exposure Determination</w:t>
      </w:r>
    </w:p>
    <w:p>
      <w:pPr>
        <w:spacing w:after="120" w:before="0" w:line="264"/>
      </w:pPr>
      <w:r>
        <w:rPr>
          <w:rFonts w:ascii="Calibri" w:cs="Calibri" w:eastAsia="Calibri" w:hAnsi="Calibri"/>
          <w:b w:val="false"/>
          <w:bCs w:val="false"/>
          <w:i w:val="false"/>
          <w:iCs w:val="false"/>
          <w:color w:val="1A1A1A"/>
          <w:sz w:val="22"/>
          <w:szCs w:val="22"/>
        </w:rPr>
        <w:t xml:space="preserve">Mailbox contents were within reach for over five hours and are treated as “probably accessible.” The confirmed egress is the outbound phishing campaign itself. No targeted data theft was evidenced; the primary harm is phishing distribution and reputational exposure.</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9. Root Cause Analysis</w:t>
      </w:r>
    </w:p>
    <w:p>
      <w:pPr>
        <w:pStyle w:val="Heading2"/>
        <w:keepNext/>
        <w:spacing w:after="80" w:before="180"/>
      </w:pPr>
      <w:r>
        <w:rPr>
          <w:rFonts w:ascii="Calibri" w:cs="Calibri" w:eastAsia="Calibri" w:hAnsi="Calibri"/>
          <w:b/>
          <w:bCs/>
          <w:color w:val="2F5496"/>
          <w:sz w:val="24"/>
          <w:szCs w:val="24"/>
        </w:rPr>
        <w:t xml:space="preserve">9.1 Primary Root Cause</w:t>
      </w:r>
    </w:p>
    <w:p>
      <w:pPr>
        <w:spacing w:after="120" w:before="0" w:line="264"/>
      </w:pPr>
      <w:r>
        <w:rPr>
          <w:rFonts w:ascii="Calibri" w:cs="Calibri" w:eastAsia="Calibri" w:hAnsi="Calibri"/>
          <w:b w:val="false"/>
          <w:bCs w:val="false"/>
          <w:i w:val="false"/>
          <w:iCs w:val="false"/>
          <w:color w:val="1A1A1A"/>
          <w:sz w:val="22"/>
          <w:szCs w:val="22"/>
        </w:rPr>
        <w:t xml:space="preserve">The primary root cause was the absence of multi-factor authentication on the account, which allowed a single stolen credential to grant full, unchallenged access from hosting infrastructure.</w:t>
      </w:r>
    </w:p>
    <w:p>
      <w:pPr>
        <w:pStyle w:val="Heading2"/>
        <w:keepNext/>
        <w:spacing w:after="80" w:before="180"/>
      </w:pPr>
      <w:r>
        <w:rPr>
          <w:rFonts w:ascii="Calibri" w:cs="Calibri" w:eastAsia="Calibri" w:hAnsi="Calibri"/>
          <w:b/>
          <w:bCs/>
          <w:color w:val="2F5496"/>
          <w:sz w:val="24"/>
          <w:szCs w:val="24"/>
        </w:rPr>
        <w:t xml:space="preserve">9.2 Contributing Factors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Conditional Access policy to block or challenge sign-ins from hosting/VPS ASNs or atypical operating systems.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alerting on inbox-rule creation or on high-volume outbound sends, allowing a 466-message campaign to run for hours.</w:t>
      </w:r>
    </w:p>
    <w:p>
      <w:pPr>
        <w:pStyle w:val="Heading2"/>
        <w:keepNext/>
        <w:spacing w:after="80" w:before="180"/>
      </w:pPr>
      <w:r>
        <w:rPr>
          <w:rFonts w:ascii="Calibri" w:cs="Calibri" w:eastAsia="Calibri" w:hAnsi="Calibri"/>
          <w:b/>
          <w:bCs/>
          <w:color w:val="2F5496"/>
          <w:sz w:val="24"/>
          <w:szCs w:val="24"/>
        </w:rPr>
        <w:t xml:space="preserve">9.3 Detection Gaps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Detection relied on coworkers noticing unusual messages, not on automated alerts.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catch-all rule specifically defeated user-side detection by hiding replies in Archive.</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10. Containment, Eradication, and Recovery</w:t>
      </w:r>
    </w:p>
    <w:p>
      <w:pPr>
        <w:pStyle w:val="Heading2"/>
        <w:keepNext/>
        <w:spacing w:after="80" w:before="180"/>
      </w:pPr>
      <w:r>
        <w:rPr>
          <w:rFonts w:ascii="Calibri" w:cs="Calibri" w:eastAsia="Calibri" w:hAnsi="Calibri"/>
          <w:b/>
          <w:bCs/>
          <w:color w:val="2F5496"/>
          <w:sz w:val="24"/>
          <w:szCs w:val="24"/>
        </w:rPr>
        <w:t xml:space="preserve">10.1 Containment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Blocked the compromised account; revoked sessions and refresh tokens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bl>
    <w:p>
      <w:pPr>
        <w:pStyle w:val="Heading2"/>
        <w:keepNext/>
        <w:spacing w:after="80" w:before="180"/>
      </w:pPr>
      <w:r>
        <w:rPr>
          <w:rFonts w:ascii="Calibri" w:cs="Calibri" w:eastAsia="Calibri" w:hAnsi="Calibri"/>
          <w:b/>
          <w:bCs/>
          <w:color w:val="2F5496"/>
          <w:sz w:val="24"/>
          <w:szCs w:val="24"/>
        </w:rPr>
        <w:t xml:space="preserve">10.2 Eradication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malicious inbox rule “.” (mark read, move to Archive)</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across tenant; purged 29 phishing messages from 16 mailboxes</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 Purge Results</w:t>
            </w:r>
          </w:p>
        </w:tc>
      </w:tr>
    </w:tbl>
    <w:p>
      <w:pPr>
        <w:pStyle w:val="Heading2"/>
        <w:keepNext/>
        <w:spacing w:after="80" w:before="180"/>
      </w:pPr>
      <w:r>
        <w:rPr>
          <w:rFonts w:ascii="Calibri" w:cs="Calibri" w:eastAsia="Calibri" w:hAnsi="Calibri"/>
          <w:b/>
          <w:bCs/>
          <w:color w:val="2F5496"/>
          <w:sz w:val="24"/>
          <w:szCs w:val="24"/>
        </w:rPr>
        <w:t xml:space="preserve">10.3 Recovery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Reset credentials and restored account under MFA (recommended enforcement)</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2025-11-29</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Identified all external recipients for client notification</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Message Trace</w:t>
            </w:r>
          </w:p>
        </w:tc>
      </w:tr>
    </w:tbl>
    <w:p>
      <w:pPr>
        <w:pStyle w:val="Heading2"/>
        <w:keepNext/>
        <w:spacing w:after="80" w:before="180"/>
      </w:pPr>
      <w:r>
        <w:rPr>
          <w:rFonts w:ascii="Calibri" w:cs="Calibri" w:eastAsia="Calibri" w:hAnsi="Calibri"/>
          <w:b/>
          <w:bCs/>
          <w:color w:val="2F5496"/>
          <w:sz w:val="24"/>
          <w:szCs w:val="24"/>
        </w:rPr>
        <w:t xml:space="preserve">10.4 Post-Remediation Verification</w:t>
      </w:r>
    </w:p>
    <w:p>
      <w:pPr>
        <w:spacing w:after="120" w:before="0" w:line="264"/>
      </w:pPr>
      <w:r>
        <w:rPr>
          <w:rFonts w:ascii="Calibri" w:cs="Calibri" w:eastAsia="Calibri" w:hAnsi="Calibri"/>
          <w:b w:val="false"/>
          <w:bCs w:val="false"/>
          <w:i w:val="false"/>
          <w:iCs w:val="false"/>
          <w:color w:val="1A1A1A"/>
          <w:sz w:val="22"/>
          <w:szCs w:val="22"/>
        </w:rPr>
        <w:t xml:space="preserve">A post-remediation review confirmed removal of the inbox rule, absence of other persistence, and purge of identified phishing copies. The complete external-recipient list was provided to the client for notification.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11. Recommendations</w:t>
      </w:r>
    </w:p>
    <w:p>
      <w:pPr>
        <w:pStyle w:val="Heading2"/>
        <w:keepNext/>
        <w:spacing w:after="80" w:before="180"/>
      </w:pPr>
      <w:r>
        <w:rPr>
          <w:rFonts w:ascii="Calibri" w:cs="Calibri" w:eastAsia="Calibri" w:hAnsi="Calibri"/>
          <w:b/>
          <w:bCs/>
          <w:color w:val="2F5496"/>
          <w:sz w:val="24"/>
          <w:szCs w:val="24"/>
        </w:rPr>
        <w:t xml:space="preserve">11.1 Immediate (within 7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Notify external recipients, particularly government agencies and partner organizations, that the “City of Rivera5” messages were not legitimate.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Advise internal recipients and monitor for any replies or follow-up engagement from external recipients.</w:t>
      </w:r>
    </w:p>
    <w:p>
      <w:pPr>
        <w:pStyle w:val="Heading2"/>
        <w:keepNext/>
        <w:spacing w:after="80" w:before="180"/>
      </w:pPr>
      <w:r>
        <w:rPr>
          <w:rFonts w:ascii="Calibri" w:cs="Calibri" w:eastAsia="Calibri" w:hAnsi="Calibri"/>
          <w:b/>
          <w:bCs/>
          <w:color w:val="2F5496"/>
          <w:sz w:val="24"/>
          <w:szCs w:val="24"/>
        </w:rPr>
        <w:t xml:space="preserve">11.2 Short-Term (within 30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Enforce MFA for all accounts and deploy Conditional Access to challenge hosting/VPS sign-ins.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Enable alerting on inbox-rule creation (catch-all, single-character names, Archive/RSS moves) and on high-volume outbound sends (e.g., &gt;50 messages in a short window).</w:t>
      </w:r>
    </w:p>
    <w:p>
      <w:pPr>
        <w:pStyle w:val="Heading2"/>
        <w:keepNext/>
        <w:spacing w:after="80" w:before="180"/>
      </w:pPr>
      <w:r>
        <w:rPr>
          <w:rFonts w:ascii="Calibri" w:cs="Calibri" w:eastAsia="Calibri" w:hAnsi="Calibri"/>
          <w:b/>
          <w:bCs/>
          <w:color w:val="2F5496"/>
          <w:sz w:val="24"/>
          <w:szCs w:val="24"/>
        </w:rPr>
        <w:t xml:space="preserve">11.3 Medium-Term (within 90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Deploy phishing-resistant MFA (FIDO2) to mitigate AiTM token replay for future incidents.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Consider blocking authentication from known hosting/VPS providers at the Conditional Access layer.</w:t>
      </w:r>
    </w:p>
    <w:p>
      <w:pPr>
        <w:pStyle w:val="Heading2"/>
        <w:keepNext/>
        <w:spacing w:after="80" w:before="180"/>
      </w:pPr>
      <w:r>
        <w:rPr>
          <w:rFonts w:ascii="Calibri" w:cs="Calibri" w:eastAsia="Calibri" w:hAnsi="Calibri"/>
          <w:b/>
          <w:bCs/>
          <w:color w:val="2F5496"/>
          <w:sz w:val="24"/>
          <w:szCs w:val="24"/>
        </w:rPr>
        <w:t xml:space="preserve">11.4 Strategic (longer-term posture)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Conduct targeted awareness training emphasizing reporting of unexpected messages from coworkers and forwarded-message lures.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Extend sign-in and audit log retention to at least 90 days.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12. Lessons Learned</w:t>
      </w:r>
    </w:p>
    <w:p>
      <w:pPr>
        <w:pStyle w:val="Heading2"/>
        <w:keepNext/>
        <w:spacing w:after="80" w:before="180"/>
      </w:pPr>
      <w:r>
        <w:rPr>
          <w:rFonts w:ascii="Calibri" w:cs="Calibri" w:eastAsia="Calibri" w:hAnsi="Calibri"/>
          <w:b/>
          <w:bCs/>
          <w:color w:val="2F5496"/>
          <w:sz w:val="24"/>
          <w:szCs w:val="24"/>
        </w:rPr>
        <w:t xml:space="preserve">12.1 What Worked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content search and purge cleanly removed the internal blast radius (29 messages, 16 mailboxes).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Message-trace reconstruction produced a complete recipient list for notification.</w:t>
      </w:r>
    </w:p>
    <w:p>
      <w:pPr>
        <w:pStyle w:val="Heading2"/>
        <w:keepNext/>
        <w:spacing w:after="80" w:before="180"/>
      </w:pPr>
      <w:r>
        <w:rPr>
          <w:rFonts w:ascii="Calibri" w:cs="Calibri" w:eastAsia="Calibri" w:hAnsi="Calibri"/>
          <w:b/>
          <w:bCs/>
          <w:color w:val="2F5496"/>
          <w:sz w:val="24"/>
          <w:szCs w:val="24"/>
        </w:rPr>
        <w:t xml:space="preserve">12.2 What Did Not Work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account had no MFA, and detection depended on coworkers noticing.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catch-all rule concealed the campaign from the user for hours before anyone reported it.</w:t>
      </w:r>
    </w:p>
    <w:p>
      <w:pPr>
        <w:pStyle w:val="Heading2"/>
        <w:keepNext/>
        <w:spacing w:after="80" w:before="180"/>
      </w:pPr>
      <w:r>
        <w:rPr>
          <w:rFonts w:ascii="Calibri" w:cs="Calibri" w:eastAsia="Calibri" w:hAnsi="Calibri"/>
          <w:b/>
          <w:bCs/>
          <w:color w:val="2F5496"/>
          <w:sz w:val="24"/>
          <w:szCs w:val="24"/>
        </w:rPr>
        <w:t xml:space="preserve">12.3 Process Improvements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Enforce MFA and add inbox-rule and outbound-volume alerting to catch this pattern automatically.</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Add hosting/VPS sign-in challenges via Conditional Access.</w:t>
      </w:r>
    </w:p>
    <w:p>
      <w:pPr>
        <w:spacing w:after="120" w:before="60" w:line="264"/>
      </w:pPr>
      <w:r>
        <w:rPr>
          <w:rFonts w:ascii="Calibri" w:cs="Calibri" w:eastAsia="Calibri" w:hAnsi="Calibri"/>
          <w:b w:val="false"/>
          <w:bCs w:val="false"/>
          <w:i/>
          <w:iCs/>
          <w:color w:val="666666"/>
          <w:sz w:val="20"/>
          <w:szCs w:val="20"/>
        </w:rPr>
        <w:t xml:space="preserve">A deeper internal review of the response is captured in the separate internal post-mortem; this section is the client-facing summary.</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13. Appendices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A: Full sign-in events from threat-actor IP addresses.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B: MailItemsAccessed / Unified Audit Log export for affected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C: Screenshots of malicious inbox rules. [Screenshot: inbox rule configuration]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D: Full IOC list in machine-readable format (CSV).</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E: Raw script outputs relevant to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F: User interview notes.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G: Copies of communications with affected third parties.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Control</w:t>
      </w:r>
    </w:p>
    <w:p>
      <w:pPr>
        <w:pStyle w:val="Heading2"/>
        <w:keepNext/>
        <w:spacing w:after="80" w:before="180"/>
      </w:pPr>
      <w:r>
        <w:rPr>
          <w:rFonts w:ascii="Calibri" w:cs="Calibri" w:eastAsia="Calibri" w:hAnsi="Calibri"/>
          <w:b/>
          <w:bCs/>
          <w:color w:val="2F5496"/>
          <w:sz w:val="24"/>
          <w:szCs w:val="24"/>
        </w:rPr>
        <w:t xml:space="preserve">Revision History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200"/>
        <w:gridCol w:w="2600"/>
        <w:gridCol w:w="3480"/>
      </w:tblGrid>
      <w:tr>
        <w:trPr>
          <w:tblHeader/>
        </w:trPr>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Version</w:t>
            </w:r>
          </w:p>
        </w:tc>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Author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Change Summary</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0.1</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draft from investigation findings.</w:t>
            </w:r>
          </w:p>
        </w:tc>
      </w:tr>
      <w:tr>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0.2</w:t>
            </w:r>
          </w:p>
        </w:tc>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review revisions.</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Final, delivered to client.</w:t>
            </w:r>
          </w:p>
        </w:tc>
      </w:tr>
    </w:tbl>
    <w:p>
      <w:pPr>
        <w:pStyle w:val="Heading2"/>
        <w:keepNext/>
        <w:spacing w:after="80" w:before="180"/>
      </w:pPr>
      <w:r>
        <w:rPr>
          <w:rFonts w:ascii="Calibri" w:cs="Calibri" w:eastAsia="Calibri" w:hAnsi="Calibri"/>
          <w:b/>
          <w:bCs/>
          <w:color w:val="2F5496"/>
          <w:sz w:val="24"/>
          <w:szCs w:val="24"/>
        </w:rPr>
        <w:t xml:space="preserve">Approval and Delivery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200"/>
        <w:gridCol w:w="2000"/>
        <w:gridCol w:w="2480"/>
      </w:tblGrid>
      <w:tr>
        <w:trPr>
          <w:tblHeader/>
        </w:trPr>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Name / Title</w:t>
            </w:r>
          </w:p>
        </w:tc>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Method</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Prepared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By</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Delivered To</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[Recipient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29,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[Secure delivery]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Trey Research · BEC-2025-1129</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Trey Research Investigation Report</dc:title>
  <dc:creator>[Your Organization]</dc:creator>
  <cp:lastModifiedBy>Un-named</cp:lastModifiedBy>
  <cp:revision>1</cp:revision>
  <dcterms:created xsi:type="dcterms:W3CDTF">2026-07-31T07:35:16.496Z</dcterms:created>
  <dcterms:modified xsi:type="dcterms:W3CDTF">2026-07-31T07:35:16.496Z</dcterms:modified>
</cp:coreProperties>
</file>

<file path=docProps/custom.xml><?xml version="1.0" encoding="utf-8"?>
<Properties xmlns="http://schemas.openxmlformats.org/officeDocument/2006/custom-properties" xmlns:vt="http://schemas.openxmlformats.org/officeDocument/2006/docPropsVTypes"/>
</file>