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[LOGO]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36"/>
          <w:szCs w:val="36"/>
        </w:rPr>
        <w:t xml:space="preserve">Security Incident Report (BEC-2025-1129)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Trey Research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Report Date: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November 29, 2025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On November 29, 2025, at approximately 13:08 UTC,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an unauthorized party accessed the Microsoft 365 account belonging to “harris4@treyresearch.com” (display name Matthew3 Ward). The threat actor authenticated from IP address 69.61.31.142 (Cyber Wurx LLC, Atlanta, Georgia, United States), a hosting/VPS provider (AS22653, Scamalytics fraud score 22). The initial sign-in used Microsoft Edge on Windows Server 2022, followed by additional sign-ins to OfficeHome and One Outlook Web. No multi-factor authentication was enforced, and no Conditional Access policies were applied.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Coworkers reported receiving unusual messages from the account. Investigation confirmed that the threat actor created a malicious catch-all inbox rule named “.” at 16:10 UTC, which marked all incoming messages as read and moved them to the Archive folder. Beginning at 16:11 UTC, the threat actor sent 466 outbound messages to 451 unique recipients (18 internal and 433 external) with subjects including “FW: City of Rivera5” and “Re: City of Rivera5,” consistent with a large-scale phishing distribution campaign. The threat actor actively monitored the mailbox, replying to recipient responses and deleting sent items and bouncebacks to conceal activity. [Your Organization] identified the suspect sign-in, removed the malicious inbox rule, blocked access to the compromised account, and performed a content search and purge to remove 29 phishing messages from 16 internal mailboxes.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Status: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 Affected account identified and remediated; phishing messages purged from tenant mailboxes.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compromised account “harris4@treyresearch.com” was blocked and its sessions and refresh tokens were revoked.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malicious inbox rule “.” (move all mail to Archive, mark as read) was removed from the compromised mailbox.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threat actor held authenticated access to the mailbox for over five hours (13:08 to at least 18:23 UTC) before the account was secured.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total of 466 outbound messages were sent from the account by the threat actor, targeting 18 internal and 433 external recipients.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content search identified 29 phishing messages across 16 internal recipient mailboxes, which were purged from the tenant.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Impact: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 Large-scale phishing campaign distributed from the compromised account; internal and external recipients affected.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threat actor sent 466 messages from the compromised mailbox between 16:11 and 18:15 UTC, primarily forwarding a message with the subject “FW: City of Rivera5.” The campaign reached 433 unique external recipients across government agencies and partner organizations, as well as 18 internal Trey Research mailboxes.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threat actor replied to at least nine recipient responses, engaging in follow-up conversation threads that could have been used to further social engineering or phishing objectives.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malicious inbox rule ensured that replies from recipients were hidden from the legitimate account holder by moving all incoming mail to the Archive folder and marking it as 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threat actor deleted at least 48 items from the mailbox (32 from Archive, 16 from Sent Items), including bouncebacks, sent copies, and reply threads, to conceal the campaign.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evidence of password changes, mail-forwarding rules, or delegated access grants beyond the inbox rule was identified.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Actions Performed: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Identified the unauthorized sign-in from IP 69.61.31.142 (Cyber Wurx LLC, hosting provider) and confirmed it as the source of all malicious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Blocked access to the compromised account and revoked all active sessions and refresh tokens.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Removed the malicious inbox rule “.” that was configured to move all incoming mail to Archive and mark it as 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Reviewed the Entra ID interactive sign-in logs for the period November 22 through November 29, 2025 (44 sign-in events for the affected account; 5 from the threat actor IP).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Analyzed the Unified Audit Log (76 entries from the threat actor IP) to reconstruct the full timeline of mailbox activity, including inbox rule creation, message composition, sending, and deletion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Reviewed the outbound message trace (466 sent messages from the threat actor IP) to identify all internal and external recipients of the phishing campaign.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Performed a content search across the tenant and identified 29 copies of the phishing message in 16 internal recipient mailboxes; all identified copies were purged.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Immediate Follow-Up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Notify external recipients, particularly government agencies and partner organizations, that messages sent from “harris4@treyresearch.com” on November 29, 2025 with subjects containing “City of Rivera5” were not sent by the legitimate account holder and may contain phishing content.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Monitor for any replies or follow-up messages from external recipients who engaged with the threat actor’s responses, and advise those contacts to disregard any instructions or links received.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Identity &amp; Access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Enforce multi-factor authentication (MFA) for all user accounts. The compromised account authenticated with single-factor authentication only, with no Conditional Access policies applied.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Deploy phishing-resistant MFA methods (FIDO2 security keys or certificate-based authentication) to mitigate adversary-in-the-middle (AiTM) session token replay attacks.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Implement Conditional Access policies that block or require step-up authentication for sign-ins from hosting providers, VPN endpoints, and IP addresses not associated with the organization’s normal operating geography.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Security Awareness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Conduct targeted security awareness training for all staff, emphasizing the importance of reporting unexpected messages from coworkers and recognizing forwarded-message phishing lures.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Communicate to staff that the organization experienced an active BEC incident and reinforce the procedure for reporting suspicious emails.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Monitoring &amp; Detection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Configure alerts for inbox rule creation events, particularly rules with no conditions (catch-all), single-character names, or rules that move messages to non-standard folders such as Archive or RSS Feeds.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Establish alerts for sign-ins from known hosting providers and IP addresses classified as VPS or data center infrastructure.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Configure alerts for high-volume outbound email activity, such as sending more than 50 messages within a short time window.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Review and extend sign-in and audit log retention to at least 90 days to support future investigations.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Network Perimeter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Consider blocking authentication from known hosting and VPS providers at the Conditional Access policy level, as legitimate users would not typically authenticate from data center IP space.</w:t>
      </w:r>
    </w:p>
    <w:p>
      <w:pPr>
        <w:pBdr>
          <w:top w:val="single" w:color="CCCCCC" w:sz="1"/>
        </w:pBdr>
        <w:spacing w:before="3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CONFIDENTIAL — Prepared by [Your Organization] for Trey Research. Ref: BEC-2025-1129. Distribution limited to authorized recipients.</w:t>
      </w:r>
    </w:p>
    <w:sectPr>
      <w:pgSz w:w="12240" w:h="15840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2026-07-29T03:35:30.535Z</dcterms:created>
  <dcterms:modified xsi:type="dcterms:W3CDTF">2026-07-29T03:35:30.548Z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