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2F5496"/>
          <w:sz w:val="28"/>
          <w:szCs w:val="28"/>
        </w:rPr>
        <w:t xml:space="preserve">[LOGO]  [Your Organization]</w:t>
      </w:r>
    </w:p>
    <w:p>
      <w:pPr>
        <w:pBdr>
          <w:bottom w:val="single" w:color="2F5496" w:sz="6" w:space="2"/>
        </w:pBdr>
        <w:spacing w:after="0"/>
      </w:pPr>
      <w:r>
        <w:rPr>
          <w:rFonts w:ascii="Calibri" w:cs="Calibri" w:eastAsia="Calibri" w:hAnsi="Calibri"/>
          <w:color w:val="666666"/>
          <w:sz w:val="18"/>
          <w:szCs w:val="18"/>
        </w:rPr>
        <w:t xml:space="preserve">[Street Address] · [City, State ZIP] · [Phone] · [Email] · [Website]</w:t>
      </w:r>
    </w:p>
    <w:p>
      <w:pPr>
        <w:spacing w:after="160" w:before="160" w:line="264"/>
      </w:pPr>
      <w:r>
        <w:rPr>
          <w:rFonts w:ascii="Calibri" w:cs="Calibri" w:eastAsia="Calibri" w:hAnsi="Calibri"/>
          <w:b/>
          <w:bCs/>
          <w:i w:val="false"/>
          <w:iCs w:val="false"/>
          <w:color w:val="666666"/>
          <w:sz w:val="20"/>
          <w:szCs w:val="20"/>
        </w:rPr>
        <w:t xml:space="preserve">CONFIDENTIAL</w:t>
      </w:r>
    </w:p>
    <w:p>
      <w:pPr>
        <w:spacing w:after="120" w:before="0" w:line="264"/>
      </w:pPr>
      <w:r>
        <w:rPr>
          <w:rFonts w:ascii="Calibri" w:cs="Calibri" w:eastAsia="Calibri" w:hAnsi="Calibri"/>
          <w:b w:val="false"/>
          <w:bCs w:val="false"/>
          <w:i w:val="false"/>
          <w:iCs w:val="false"/>
          <w:color w:val="1A1A1A"/>
          <w:sz w:val="22"/>
          <w:szCs w:val="22"/>
        </w:rPr>
        <w:t xml:space="preserve">November 30, 2025</w:t>
      </w:r>
    </w:p>
    <w:p>
      <w:pPr>
        <w:spacing w:after="0" w:before="0" w:line="264"/>
      </w:pPr>
      <w:r>
        <w:rPr>
          <w:rFonts w:ascii="Calibri" w:cs="Calibri" w:eastAsia="Calibri" w:hAnsi="Calibri"/>
          <w:b w:val="false"/>
          <w:bCs w:val="false"/>
          <w:i w:val="false"/>
          <w:iCs w:val="false"/>
          <w:color w:val="1A1A1A"/>
          <w:sz w:val="22"/>
          <w:szCs w:val="22"/>
        </w:rPr>
        <w:t xml:space="preserve">[Recipient Name]</w:t>
      </w:r>
    </w:p>
    <w:p>
      <w:pPr>
        <w:spacing w:after="0" w:before="0" w:line="264"/>
      </w:pPr>
      <w:r>
        <w:rPr>
          <w:rFonts w:ascii="Calibri" w:cs="Calibri" w:eastAsia="Calibri" w:hAnsi="Calibri"/>
          <w:b w:val="false"/>
          <w:bCs w:val="false"/>
          <w:i w:val="false"/>
          <w:iCs w:val="false"/>
          <w:color w:val="1A1A1A"/>
          <w:sz w:val="22"/>
          <w:szCs w:val="22"/>
        </w:rPr>
        <w:t xml:space="preserve">[Recipient Title]</w:t>
      </w:r>
    </w:p>
    <w:p>
      <w:pPr>
        <w:spacing w:after="0" w:before="0" w:line="264"/>
      </w:pPr>
      <w:r>
        <w:rPr>
          <w:rFonts w:ascii="Calibri" w:cs="Calibri" w:eastAsia="Calibri" w:hAnsi="Calibri"/>
          <w:b w:val="false"/>
          <w:bCs w:val="false"/>
          <w:i w:val="false"/>
          <w:iCs w:val="false"/>
          <w:color w:val="1A1A1A"/>
          <w:sz w:val="22"/>
          <w:szCs w:val="22"/>
        </w:rPr>
        <w:t xml:space="preserve">[Recipient Organization]</w:t>
      </w:r>
    </w:p>
    <w:p>
      <w:pPr>
        <w:spacing w:after="160" w:before="0" w:line="264"/>
      </w:pPr>
      <w:r>
        <w:rPr>
          <w:rFonts w:ascii="Calibri" w:cs="Calibri" w:eastAsia="Calibri" w:hAnsi="Calibri"/>
          <w:b w:val="false"/>
          <w:bCs w:val="false"/>
          <w:i w:val="false"/>
          <w:iCs w:val="false"/>
          <w:color w:val="1A1A1A"/>
          <w:sz w:val="22"/>
          <w:szCs w:val="22"/>
        </w:rPr>
        <w:t xml:space="preserve">[Address]</w:t>
      </w:r>
    </w:p>
    <w:p>
      <w:pPr>
        <w:spacing w:after="160" w:before="0" w:line="264"/>
      </w:pPr>
      <w:r>
        <w:rPr>
          <w:rFonts w:ascii="Calibri" w:cs="Calibri" w:eastAsia="Calibri" w:hAnsi="Calibri"/>
          <w:b/>
          <w:bCs/>
          <w:i w:val="false"/>
          <w:iCs w:val="false"/>
          <w:color w:val="1A1A1A"/>
          <w:sz w:val="22"/>
          <w:szCs w:val="22"/>
        </w:rPr>
        <w:t xml:space="preserve">Re:  Attestation of Investigation - Business Email Compromise Incident (Proseware Mechanical, Ref IR-PRW-20251130)</w:t>
      </w:r>
    </w:p>
    <w:p>
      <w:pPr>
        <w:spacing w:after="120" w:before="0" w:line="264"/>
      </w:pPr>
      <w:r>
        <w:rPr>
          <w:rFonts w:ascii="Calibri" w:cs="Calibri" w:eastAsia="Calibri" w:hAnsi="Calibri"/>
          <w:b w:val="false"/>
          <w:bCs w:val="false"/>
          <w:i w:val="false"/>
          <w:iCs w:val="false"/>
          <w:color w:val="1A1A1A"/>
          <w:sz w:val="22"/>
          <w:szCs w:val="22"/>
        </w:rPr>
        <w:t xml:space="preserve">Dear [Recipient Name / To Whom It May Concern]:</w:t>
      </w:r>
    </w:p>
    <w:p>
      <w:pPr>
        <w:spacing w:after="120" w:before="0" w:line="264"/>
      </w:pPr>
      <w:r>
        <w:rPr>
          <w:rFonts w:ascii="Calibri" w:cs="Calibri" w:eastAsia="Calibri" w:hAnsi="Calibri"/>
          <w:b w:val="false"/>
          <w:bCs w:val="false"/>
          <w:i w:val="false"/>
          <w:iCs w:val="false"/>
          <w:color w:val="1A1A1A"/>
          <w:sz w:val="22"/>
          <w:szCs w:val="22"/>
        </w:rPr>
        <w:t xml:space="preserve">This letter attests to the findings of an investigation conducted by [Your Organization] (hereinafter “[Short Name]”) into a business email compromise incident affecting the Microsoft 365 tenant of Proseware Mechanical (primary domain proseware.com), addressed under engagement reference IR-PRW-20251130 on November 30, 2025. It summarizes the scope, findings, and remediation status of that investigation and supports Proseware Mechanical’s communications with the named recipient.</w:t>
      </w:r>
    </w:p>
    <w:p>
      <w:pPr>
        <w:keepNext/>
        <w:spacing w:after="60" w:before="160"/>
      </w:pPr>
      <w:r>
        <w:rPr>
          <w:rFonts w:ascii="Calibri" w:cs="Calibri" w:eastAsia="Calibri" w:hAnsi="Calibri"/>
          <w:b/>
          <w:bCs/>
          <w:color w:val="2F5496"/>
          <w:sz w:val="24"/>
          <w:szCs w:val="24"/>
        </w:rPr>
        <w:t xml:space="preserve">Investigator Qualifications</w:t>
      </w:r>
    </w:p>
    <w:p>
      <w:pPr>
        <w:spacing w:after="120" w:before="0" w:line="264"/>
      </w:pPr>
      <w:r>
        <w:rPr>
          <w:rFonts w:ascii="Calibri" w:cs="Calibri" w:eastAsia="Calibri" w:hAnsi="Calibri"/>
          <w:b w:val="false"/>
          <w:bCs w:val="false"/>
          <w:i w:val="false"/>
          <w:iCs w:val="false"/>
          <w:color w:val="1A1A1A"/>
          <w:sz w:val="22"/>
          <w:szCs w:val="22"/>
        </w:rPr>
        <w:t xml:space="preserve">[Your Organization] provides digital forensics and incident response services focused on Microsoft 365 and Entra ID intrusions. The lead investigator, [Investigator Name], holds [certifications, e.g., GCIH, GCFA] and has conducted numerous business email compromise investigations.</w:t>
      </w:r>
    </w:p>
    <w:p>
      <w:pPr>
        <w:keepNext/>
        <w:spacing w:after="60" w:before="160"/>
      </w:pPr>
      <w:r>
        <w:rPr>
          <w:rFonts w:ascii="Calibri" w:cs="Calibri" w:eastAsia="Calibri" w:hAnsi="Calibri"/>
          <w:b/>
          <w:bCs/>
          <w:color w:val="2F5496"/>
          <w:sz w:val="24"/>
          <w:szCs w:val="24"/>
        </w:rPr>
        <w:t xml:space="preserve">Incident Summary</w:t>
      </w:r>
    </w:p>
    <w:p>
      <w:pPr>
        <w:spacing w:after="120" w:before="0" w:line="264"/>
      </w:pPr>
      <w:r>
        <w:rPr>
          <w:rFonts w:ascii="Calibri" w:cs="Calibri" w:eastAsia="Calibri" w:hAnsi="Calibri"/>
          <w:b w:val="false"/>
          <w:bCs w:val="false"/>
          <w:i w:val="false"/>
          <w:iCs w:val="false"/>
          <w:color w:val="1A1A1A"/>
          <w:sz w:val="22"/>
          <w:szCs w:val="22"/>
        </w:rPr>
        <w:t xml:space="preserve">The investigation determined that a single mailbox, “mark@proseware.com,” was compromised on November 30, 2025. The account was protected by password only, with no multi-factor authentication, and was accessed from geographically dispersed United States locations inconsistent with the user. The threat actor established persistence via a malicious inbox rule and an OAuth consent grant to the “eM Client” application. The activity was identified during telemetry review and contained the same day.</w:t>
      </w:r>
    </w:p>
    <w:p>
      <w:pPr>
        <w:keepNext/>
        <w:spacing w:after="60" w:before="160"/>
      </w:pPr>
      <w:r>
        <w:rPr>
          <w:rFonts w:ascii="Calibri" w:cs="Calibri" w:eastAsia="Calibri" w:hAnsi="Calibri"/>
          <w:b/>
          <w:bCs/>
          <w:color w:val="2F5496"/>
          <w:sz w:val="24"/>
          <w:szCs w:val="24"/>
        </w:rPr>
        <w:t xml:space="preserve">Scope of Investigation</w:t>
      </w:r>
    </w:p>
    <w:p>
      <w:pPr>
        <w:spacing w:after="120" w:before="0" w:line="264"/>
      </w:pPr>
      <w:r>
        <w:rPr>
          <w:rFonts w:ascii="Calibri" w:cs="Calibri" w:eastAsia="Calibri" w:hAnsi="Calibri"/>
          <w:b w:val="false"/>
          <w:bCs w:val="false"/>
          <w:i w:val="false"/>
          <w:iCs w:val="false"/>
          <w:color w:val="1A1A1A"/>
          <w:sz w:val="22"/>
          <w:szCs w:val="22"/>
        </w:rPr>
        <w:t xml:space="preserve">Sources examined included Entra ID interactive sign-in logs, Entra ID audit logs, the Unified Audit Log, enterprise-application (OAuth) consent records, inbox-rule change logs, mailbox forwarding and permission state, transport-rule configuration, and the tenant MFA account-settings report.</w:t>
      </w:r>
    </w:p>
    <w:p>
      <w:pPr>
        <w:keepNext/>
        <w:spacing w:after="60" w:before="160"/>
      </w:pPr>
      <w:r>
        <w:rPr>
          <w:rFonts w:ascii="Calibri" w:cs="Calibri" w:eastAsia="Calibri" w:hAnsi="Calibri"/>
          <w:b/>
          <w:bCs/>
          <w:color w:val="2F5496"/>
          <w:sz w:val="24"/>
          <w:szCs w:val="24"/>
        </w:rPr>
        <w:t xml:space="preserve">Investigation Status</w:t>
      </w:r>
    </w:p>
    <w:p>
      <w:pPr>
        <w:spacing w:after="120" w:before="0" w:line="264"/>
      </w:pPr>
      <w:r>
        <w:rPr>
          <w:rFonts w:ascii="Calibri" w:cs="Calibri" w:eastAsia="Calibri" w:hAnsi="Calibri"/>
          <w:b w:val="false"/>
          <w:bCs w:val="false"/>
          <w:i w:val="false"/>
          <w:iCs w:val="false"/>
          <w:color w:val="1A1A1A"/>
          <w:sz w:val="22"/>
          <w:szCs w:val="22"/>
        </w:rPr>
        <w:t xml:space="preserve">The investigation is complete. Containment, eradication, and recovery actions have been performed and verified.</w:t>
      </w:r>
    </w:p>
    <w:p>
      <w:pPr>
        <w:keepNext/>
        <w:spacing w:after="60" w:before="160"/>
      </w:pPr>
      <w:r>
        <w:rPr>
          <w:rFonts w:ascii="Calibri" w:cs="Calibri" w:eastAsia="Calibri" w:hAnsi="Calibri"/>
          <w:b/>
          <w:bCs/>
          <w:color w:val="2F5496"/>
          <w:sz w:val="24"/>
          <w:szCs w:val="24"/>
        </w:rPr>
        <w:t xml:space="preserve">Summary of Findings</w:t>
      </w:r>
    </w:p>
    <w:p>
      <w:pPr>
        <w:pStyle w:val="ListParagraph"/>
        <w:numPr>
          <w:ilvl w:val="0"/>
          <w:numId w:val="2"/>
        </w:numPr>
        <w:spacing w:after="60" w:line="264"/>
      </w:pPr>
      <w:r>
        <w:rPr>
          <w:rFonts w:ascii="Calibri" w:cs="Calibri" w:eastAsia="Calibri" w:hAnsi="Calibri"/>
          <w:b/>
          <w:bCs/>
          <w:i w:val="false"/>
          <w:iCs w:val="false"/>
          <w:color w:val="1A1A1A"/>
          <w:sz w:val="22"/>
          <w:szCs w:val="22"/>
        </w:rPr>
        <w:t xml:space="preserve">Initial Access: </w:t>
      </w:r>
      <w:r>
        <w:rPr>
          <w:rFonts w:ascii="Calibri" w:cs="Calibri" w:eastAsia="Calibri" w:hAnsi="Calibri"/>
          <w:b w:val="false"/>
          <w:bCs w:val="false"/>
          <w:i w:val="false"/>
          <w:iCs w:val="false"/>
          <w:color w:val="1A1A1A"/>
          <w:sz w:val="22"/>
          <w:szCs w:val="22"/>
        </w:rPr>
        <w:t xml:space="preserve">Credential compromise on an account with no MFA; access from dispersed US locations.</w:t>
      </w:r>
    </w:p>
    <w:p>
      <w:pPr>
        <w:pStyle w:val="ListParagraph"/>
        <w:numPr>
          <w:ilvl w:val="0"/>
          <w:numId w:val="2"/>
        </w:numPr>
        <w:spacing w:after="60" w:line="264"/>
      </w:pPr>
      <w:r>
        <w:rPr>
          <w:rFonts w:ascii="Calibri" w:cs="Calibri" w:eastAsia="Calibri" w:hAnsi="Calibri"/>
          <w:b/>
          <w:bCs/>
          <w:i w:val="false"/>
          <w:iCs w:val="false"/>
          <w:color w:val="1A1A1A"/>
          <w:sz w:val="22"/>
          <w:szCs w:val="22"/>
        </w:rPr>
        <w:t xml:space="preserve">Persistence Mechanisms: </w:t>
      </w:r>
      <w:r>
        <w:rPr>
          <w:rFonts w:ascii="Calibri" w:cs="Calibri" w:eastAsia="Calibri" w:hAnsi="Calibri"/>
          <w:b w:val="false"/>
          <w:bCs w:val="false"/>
          <w:i w:val="false"/>
          <w:iCs w:val="false"/>
          <w:color w:val="1A1A1A"/>
          <w:sz w:val="22"/>
          <w:szCs w:val="22"/>
        </w:rPr>
        <w:t xml:space="preserve">Two mechanisms: an inbox rule (“.”, move inbound to Deleted Items) and an OAuth consent grant to the “eM Client” application.</w:t>
      </w:r>
    </w:p>
    <w:p>
      <w:pPr>
        <w:pStyle w:val="ListParagraph"/>
        <w:numPr>
          <w:ilvl w:val="0"/>
          <w:numId w:val="2"/>
        </w:numPr>
        <w:spacing w:after="60" w:line="264"/>
      </w:pPr>
      <w:r>
        <w:rPr>
          <w:rFonts w:ascii="Calibri" w:cs="Calibri" w:eastAsia="Calibri" w:hAnsi="Calibri"/>
          <w:b/>
          <w:bCs/>
          <w:i w:val="false"/>
          <w:iCs w:val="false"/>
          <w:color w:val="1A1A1A"/>
          <w:sz w:val="22"/>
          <w:szCs w:val="22"/>
        </w:rPr>
        <w:t xml:space="preserve">Duration of Unauthorized Access: </w:t>
      </w:r>
      <w:r>
        <w:rPr>
          <w:rFonts w:ascii="Calibri" w:cs="Calibri" w:eastAsia="Calibri" w:hAnsi="Calibri"/>
          <w:b w:val="false"/>
          <w:bCs w:val="false"/>
          <w:i w:val="false"/>
          <w:iCs w:val="false"/>
          <w:color w:val="1A1A1A"/>
          <w:sz w:val="22"/>
          <w:szCs w:val="22"/>
        </w:rPr>
        <w:t xml:space="preserve">Same-day activity, bounded by available telemetry.</w:t>
      </w:r>
    </w:p>
    <w:p>
      <w:pPr>
        <w:pStyle w:val="ListParagraph"/>
        <w:numPr>
          <w:ilvl w:val="0"/>
          <w:numId w:val="2"/>
        </w:numPr>
        <w:spacing w:after="60" w:line="264"/>
      </w:pPr>
      <w:r>
        <w:rPr>
          <w:rFonts w:ascii="Calibri" w:cs="Calibri" w:eastAsia="Calibri" w:hAnsi="Calibri"/>
          <w:b/>
          <w:bCs/>
          <w:i w:val="false"/>
          <w:iCs w:val="false"/>
          <w:color w:val="1A1A1A"/>
          <w:sz w:val="22"/>
          <w:szCs w:val="22"/>
        </w:rPr>
        <w:t xml:space="preserve">Financial Impact: </w:t>
      </w:r>
      <w:r>
        <w:rPr>
          <w:rFonts w:ascii="Calibri" w:cs="Calibri" w:eastAsia="Calibri" w:hAnsi="Calibri"/>
          <w:b w:val="false"/>
          <w:bCs w:val="false"/>
          <w:i w:val="false"/>
          <w:iCs w:val="false"/>
          <w:color w:val="1A1A1A"/>
          <w:sz w:val="22"/>
          <w:szCs w:val="22"/>
        </w:rPr>
        <w:t xml:space="preserve">No confirmed financial loss; no outbound blast or bulk send.</w:t>
      </w:r>
    </w:p>
    <w:p>
      <w:pPr>
        <w:pStyle w:val="ListParagraph"/>
        <w:numPr>
          <w:ilvl w:val="0"/>
          <w:numId w:val="2"/>
        </w:numPr>
        <w:spacing w:after="60" w:line="264"/>
      </w:pPr>
      <w:r>
        <w:rPr>
          <w:rFonts w:ascii="Calibri" w:cs="Calibri" w:eastAsia="Calibri" w:hAnsi="Calibri"/>
          <w:b/>
          <w:bCs/>
          <w:i w:val="false"/>
          <w:iCs w:val="false"/>
          <w:color w:val="1A1A1A"/>
          <w:sz w:val="22"/>
          <w:szCs w:val="22"/>
        </w:rPr>
        <w:t xml:space="preserve">Lateral Movement: </w:t>
      </w:r>
      <w:r>
        <w:rPr>
          <w:rFonts w:ascii="Calibri" w:cs="Calibri" w:eastAsia="Calibri" w:hAnsi="Calibri"/>
          <w:b w:val="false"/>
          <w:bCs w:val="false"/>
          <w:i w:val="false"/>
          <w:iCs w:val="false"/>
          <w:color w:val="1A1A1A"/>
          <w:sz w:val="22"/>
          <w:szCs w:val="22"/>
        </w:rPr>
        <w:t xml:space="preserve">None observed; contained to the single mailbox.</w:t>
      </w:r>
    </w:p>
    <w:p>
      <w:pPr>
        <w:keepNext/>
        <w:spacing w:after="60" w:before="160"/>
      </w:pPr>
      <w:r>
        <w:rPr>
          <w:rFonts w:ascii="Calibri" w:cs="Calibri" w:eastAsia="Calibri" w:hAnsi="Calibri"/>
          <w:b/>
          <w:bCs/>
          <w:color w:val="2F5496"/>
          <w:sz w:val="24"/>
          <w:szCs w:val="24"/>
        </w:rPr>
        <w:t xml:space="preserve">Data Exposure Assessment</w:t>
      </w:r>
    </w:p>
    <w:p>
      <w:pPr>
        <w:spacing w:after="120" w:before="0" w:line="264"/>
      </w:pPr>
      <w:r>
        <w:rPr>
          <w:rFonts w:ascii="Calibri" w:cs="Calibri" w:eastAsia="Calibri" w:hAnsi="Calibri"/>
          <w:b w:val="false"/>
          <w:bCs w:val="false"/>
          <w:i w:val="false"/>
          <w:iCs w:val="false"/>
          <w:color w:val="1A1A1A"/>
          <w:sz w:val="22"/>
          <w:szCs w:val="22"/>
        </w:rPr>
        <w:t xml:space="preserve">Logging limitations prevent a definitive determination of programmatic data retrieval via the OAuth grant. The grant made mailbox contents reachable, but no bulk exfiltration was evidenced in outbound tracing. [Short Name] treats exposure as possible but not evidenced, and notes the grant was revoked.</w:t>
      </w:r>
    </w:p>
    <w:p>
      <w:pPr>
        <w:keepNext/>
        <w:spacing w:after="60" w:before="160"/>
      </w:pPr>
      <w:r>
        <w:rPr>
          <w:rFonts w:ascii="Calibri" w:cs="Calibri" w:eastAsia="Calibri" w:hAnsi="Calibri"/>
          <w:b/>
          <w:bCs/>
          <w:color w:val="2F5496"/>
          <w:sz w:val="24"/>
          <w:szCs w:val="24"/>
        </w:rPr>
        <w:t xml:space="preserve">Remediation</w:t>
      </w:r>
    </w:p>
    <w:p>
      <w:pPr>
        <w:spacing w:after="120" w:before="0" w:line="264"/>
      </w:pPr>
      <w:r>
        <w:rPr>
          <w:rFonts w:ascii="Calibri" w:cs="Calibri" w:eastAsia="Calibri" w:hAnsi="Calibri"/>
          <w:b w:val="false"/>
          <w:bCs w:val="false"/>
          <w:i w:val="false"/>
          <w:iCs w:val="false"/>
          <w:color w:val="1A1A1A"/>
          <w:sz w:val="22"/>
          <w:szCs w:val="22"/>
        </w:rPr>
        <w:t xml:space="preserve">The following actions were directed and have been completed: the account was disabled, its sessions revoked, and its password reset (a temporary password was provided to the user by phone); the malicious inbox rule was removed; the eM Client OAuth consent grant was removed; both registered authentication methods were reset for clean re-registration; and outbound tracing was reviewed to confirm no blast occurred.</w:t>
      </w:r>
    </w:p>
    <w:p>
      <w:pPr>
        <w:spacing w:after="120" w:before="0" w:line="264"/>
      </w:pPr>
      <w:r>
        <w:rPr>
          <w:rFonts w:ascii="Calibri" w:cs="Calibri" w:eastAsia="Calibri" w:hAnsi="Calibri"/>
          <w:b w:val="false"/>
          <w:bCs w:val="false"/>
          <w:i w:val="false"/>
          <w:iCs w:val="false"/>
          <w:color w:val="1A1A1A"/>
          <w:sz w:val="22"/>
          <w:szCs w:val="22"/>
        </w:rPr>
        <w:t xml:space="preserve">Additional posture recommendations, including tenant-wide MFA enforcement and restricted OAuth consent, are detailed in the referenced investigation report.</w:t>
      </w:r>
    </w:p>
    <w:p>
      <w:pPr>
        <w:keepNext/>
        <w:spacing w:after="60" w:before="160"/>
      </w:pPr>
      <w:r>
        <w:rPr>
          <w:rFonts w:ascii="Calibri" w:cs="Calibri" w:eastAsia="Calibri" w:hAnsi="Calibri"/>
          <w:b/>
          <w:bCs/>
          <w:color w:val="2F5496"/>
          <w:sz w:val="24"/>
          <w:szCs w:val="24"/>
        </w:rPr>
        <w:t xml:space="preserve">Attestation</w:t>
      </w:r>
    </w:p>
    <w:p>
      <w:pPr>
        <w:spacing w:after="120" w:before="0" w:line="264"/>
      </w:pPr>
      <w:r>
        <w:rPr>
          <w:rFonts w:ascii="Calibri" w:cs="Calibri" w:eastAsia="Calibri" w:hAnsi="Calibri"/>
          <w:b w:val="false"/>
          <w:bCs w:val="false"/>
          <w:i w:val="false"/>
          <w:iCs w:val="false"/>
          <w:color w:val="1A1A1A"/>
          <w:sz w:val="22"/>
          <w:szCs w:val="22"/>
        </w:rPr>
        <w:t xml:space="preserve">[Your Organization] attests that the statements above accurately reflect the findings of its investigation as of the date of this letter, based on the evidence reviewed and the methodology applied. This attestation is limited to the scope described and to the evidence available during the engagement. It is not legal advice and does not constitute a legal opinion.</w:t>
      </w:r>
    </w:p>
    <w:p>
      <w:pPr>
        <w:keepNext/>
        <w:spacing w:after="60" w:before="160"/>
      </w:pPr>
      <w:r>
        <w:rPr>
          <w:rFonts w:ascii="Calibri" w:cs="Calibri" w:eastAsia="Calibri" w:hAnsi="Calibri"/>
          <w:b/>
          <w:bCs/>
          <w:color w:val="2F5496"/>
          <w:sz w:val="24"/>
          <w:szCs w:val="24"/>
        </w:rPr>
        <w:t xml:space="preserve">Referenced Documents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Incident Investigation Report, Proseware Mechanical, version 1.0, dated November 30, 2025 (Ref IR-PRW-20251130).</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Engagement Letter / Statement of Work [reference and date].</w:t>
      </w:r>
    </w:p>
    <w:p>
      <w:pPr>
        <w:keepNext/>
        <w:spacing w:after="60" w:before="160"/>
      </w:pPr>
      <w:r>
        <w:rPr>
          <w:rFonts w:ascii="Calibri" w:cs="Calibri" w:eastAsia="Calibri" w:hAnsi="Calibri"/>
          <w:b/>
          <w:bCs/>
          <w:color w:val="2F5496"/>
          <w:sz w:val="24"/>
          <w:szCs w:val="24"/>
        </w:rPr>
        <w:t xml:space="preserve">Contact</w:t>
      </w:r>
    </w:p>
    <w:p>
      <w:pPr>
        <w:spacing w:after="120" w:before="0" w:line="264"/>
      </w:pPr>
      <w:r>
        <w:rPr>
          <w:rFonts w:ascii="Calibri" w:cs="Calibri" w:eastAsia="Calibri" w:hAnsi="Calibri"/>
          <w:b w:val="false"/>
          <w:bCs w:val="false"/>
          <w:i w:val="false"/>
          <w:iCs w:val="false"/>
          <w:color w:val="1A1A1A"/>
          <w:sz w:val="22"/>
          <w:szCs w:val="22"/>
        </w:rPr>
        <w:t xml:space="preserve">Questions regarding this attestation may be directed to the undersigned. Proseware Mechanical has authorized the named recipient to contact [Your Organization] on matters within the scope described above.</w:t>
      </w:r>
    </w:p>
    <w:p>
      <w:pPr>
        <w:spacing w:after="320" w:before="200" w:line="264"/>
      </w:pPr>
      <w:r>
        <w:rPr>
          <w:rFonts w:ascii="Calibri" w:cs="Calibri" w:eastAsia="Calibri" w:hAnsi="Calibri"/>
          <w:b w:val="false"/>
          <w:bCs w:val="false"/>
          <w:i w:val="false"/>
          <w:iCs w:val="false"/>
          <w:color w:val="1A1A1A"/>
          <w:sz w:val="22"/>
          <w:szCs w:val="22"/>
        </w:rPr>
        <w:t xml:space="preserve">Sincerely,</w:t>
      </w:r>
    </w:p>
    <w:p>
      <w:pPr>
        <w:spacing w:after="0" w:before="0" w:line="264"/>
      </w:pPr>
      <w:r>
        <w:rPr>
          <w:rFonts w:ascii="Calibri" w:cs="Calibri" w:eastAsia="Calibri" w:hAnsi="Calibri"/>
          <w:b/>
          <w:bCs/>
          <w:i w:val="false"/>
          <w:iCs w:val="false"/>
          <w:color w:val="1A1A1A"/>
          <w:sz w:val="22"/>
          <w:szCs w:val="22"/>
        </w:rPr>
        <w:t xml:space="preserve">[Signer Full Name]</w:t>
      </w:r>
    </w:p>
    <w:p>
      <w:pPr>
        <w:spacing w:after="0" w:before="0" w:line="264"/>
      </w:pPr>
      <w:r>
        <w:rPr>
          <w:rFonts w:ascii="Calibri" w:cs="Calibri" w:eastAsia="Calibri" w:hAnsi="Calibri"/>
          <w:b w:val="false"/>
          <w:bCs w:val="false"/>
          <w:i w:val="false"/>
          <w:iCs w:val="false"/>
          <w:color w:val="1A1A1A"/>
          <w:sz w:val="22"/>
          <w:szCs w:val="22"/>
        </w:rPr>
        <w:t xml:space="preserve">[Title], [Certifications]</w:t>
      </w:r>
    </w:p>
    <w:p>
      <w:pPr>
        <w:spacing w:after="0" w:before="0" w:line="264"/>
      </w:pPr>
      <w:r>
        <w:rPr>
          <w:rFonts w:ascii="Calibri" w:cs="Calibri" w:eastAsia="Calibri" w:hAnsi="Calibri"/>
          <w:b w:val="false"/>
          <w:bCs w:val="false"/>
          <w:i w:val="false"/>
          <w:iCs w:val="false"/>
          <w:color w:val="1A1A1A"/>
          <w:sz w:val="22"/>
          <w:szCs w:val="22"/>
        </w:rPr>
        <w:t xml:space="preserve">[Your Organization]</w:t>
      </w:r>
    </w:p>
    <w:p>
      <w:pPr>
        <w:spacing w:after="160" w:before="0" w:line="264"/>
      </w:pPr>
      <w:r>
        <w:rPr>
          <w:rFonts w:ascii="Calibri" w:cs="Calibri" w:eastAsia="Calibri" w:hAnsi="Calibri"/>
          <w:b w:val="false"/>
          <w:bCs w:val="false"/>
          <w:i w:val="false"/>
          <w:iCs w:val="false"/>
          <w:color w:val="1A1A1A"/>
          <w:sz w:val="22"/>
          <w:szCs w:val="22"/>
        </w:rPr>
        <w:t xml:space="preserve">[Direct Email] · [Direct Phone]</w:t>
      </w:r>
    </w:p>
    <w:p>
      <w:pPr>
        <w:spacing w:after="120" w:before="0" w:line="264"/>
      </w:pPr>
      <w:r>
        <w:rPr>
          <w:rFonts w:ascii="Calibri" w:cs="Calibri" w:eastAsia="Calibri" w:hAnsi="Calibri"/>
          <w:b w:val="false"/>
          <w:bCs w:val="false"/>
          <w:i/>
          <w:iCs/>
          <w:color w:val="666666"/>
          <w:sz w:val="20"/>
          <w:szCs w:val="20"/>
        </w:rPr>
        <w:t xml:space="preserve">This letter states facts about the investigation described above. It is not legal advice and is not a legal opinion on breach-notification obligations, which are the responsibility of the client and its counsel. Distribution is limited to the recipient named above and parties the client has authorized.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w:cs="Calibri" w:eastAsia="Calibri" w:hAnsi="Calibri"/>
        <w:color w:val="666666"/>
        <w:sz w:val="16"/>
        <w:szCs w:val="16"/>
      </w:rPr>
      <w:t xml:space="preserve">CONFIDENTIAL · Attestation · IR-PRW-20251130</w:t>
    </w:r>
    <w:r>
      <w:rPr>
        <w:rFonts w:ascii="Calibri" w:cs="Calibri" w:eastAsia="Calibri" w:hAnsi="Calibri"/>
        <w:sz w:val="16"/>
        <w:szCs w:val="16"/>
      </w:rPr>
      <w:t xml:space="preserve">	</w:t>
    </w:r>
    <w:r>
      <w:rPr>
        <w:rFonts w:ascii="Calibri" w:cs="Calibri" w:eastAsia="Calibri" w:hAnsi="Calibri"/>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2F5496"/>
      <w:sz w:val="28"/>
      <w:szCs w:val="28"/>
    </w:rPr>
  </w:style>
  <w:style w:type="paragraph" w:styleId="Heading2">
    <w:name w:val="Heading 2"/>
    <w:basedOn w:val="Normal"/>
    <w:next w:val="Normal"/>
    <w:qFormat/>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Proseware Mechanical Attestation Letter</dc:title>
  <dc:creator>[Your Organization]</dc:creator>
  <cp:lastModifiedBy>Un-named</cp:lastModifiedBy>
  <cp:revision>1</cp:revision>
  <dcterms:created xsi:type="dcterms:W3CDTF">2026-07-31T07:35:16.910Z</dcterms:created>
  <dcterms:modified xsi:type="dcterms:W3CDTF">2026-07-31T07:35:16.910Z</dcterms:modified>
</cp:coreProperties>
</file>

<file path=docProps/custom.xml><?xml version="1.0" encoding="utf-8"?>
<Properties xmlns="http://schemas.openxmlformats.org/officeDocument/2006/custom-properties" xmlns:vt="http://schemas.openxmlformats.org/officeDocument/2006/docPropsVTypes"/>
</file>