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Calibri" w:cs="Calibri" w:eastAsia="Calibri" w:hAnsi="Calibri"/>
          <w:color w:val="666666"/>
          <w:sz w:val="20"/>
          <w:szCs w:val="20"/>
        </w:rPr>
        <w:t xml:space="preserve">[LOGO]</w:t>
      </w:r>
    </w:p>
    <w:p>
      <w:pPr>
        <w:spacing w:after="80"/>
        <w:jc w:val="center"/>
      </w:pPr>
      <w:r>
        <w:rPr>
          <w:rFonts w:ascii="Calibri" w:cs="Calibri" w:eastAsia="Calibri" w:hAnsi="Calibri"/>
          <w:b/>
          <w:bCs/>
          <w:color w:val="666666"/>
          <w:sz w:val="22"/>
          <w:szCs w:val="22"/>
        </w:rPr>
        <w:t xml:space="preserve">BUSINESS EMAIL COMPROMISE</w:t>
      </w:r>
    </w:p>
    <w:p>
      <w:pPr>
        <w:spacing w:after="300"/>
        <w:jc w:val="center"/>
      </w:pPr>
      <w:r>
        <w:rPr>
          <w:rFonts w:ascii="Calibri" w:cs="Calibri" w:eastAsia="Calibri" w:hAnsi="Calibri"/>
          <w:b/>
          <w:bCs/>
          <w:color w:val="2F5496"/>
          <w:sz w:val="46"/>
          <w:szCs w:val="46"/>
        </w:rPr>
        <w:t xml:space="preserve">Incident Investigation Report</w:t>
      </w:r>
    </w:p>
    <w:p>
      <w:pPr>
        <w:spacing w:after="60"/>
        <w:jc w:val="center"/>
      </w:pPr>
      <w:r>
        <w:rPr>
          <w:rFonts w:ascii="Calibri" w:cs="Calibri" w:eastAsia="Calibri" w:hAnsi="Calibri"/>
          <w:b/>
          <w:bCs/>
          <w:color w:val="1A1A1A"/>
          <w:sz w:val="32"/>
          <w:szCs w:val="32"/>
        </w:rPr>
        <w:t xml:space="preserve">Proseware Mechanical</w:t>
      </w:r>
    </w:p>
    <w:p>
      <w:pPr>
        <w:spacing w:after="40"/>
        <w:jc w:val="center"/>
      </w:pPr>
      <w:r>
        <w:rPr>
          <w:rFonts w:ascii="Calibri" w:cs="Calibri" w:eastAsia="Calibri" w:hAnsi="Calibri"/>
          <w:color w:val="666666"/>
          <w:sz w:val="22"/>
          <w:szCs w:val="22"/>
        </w:rPr>
        <w:t xml:space="preserve">Primary M365 Domain: proseware.com</w:t>
      </w:r>
    </w:p>
    <w:p>
      <w:pPr>
        <w:spacing w:after="40"/>
        <w:jc w:val="center"/>
      </w:pPr>
      <w:r>
        <w:rPr>
          <w:rFonts w:ascii="Calibri" w:cs="Calibri" w:eastAsia="Calibri" w:hAnsi="Calibri"/>
          <w:color w:val="666666"/>
          <w:sz w:val="22"/>
          <w:szCs w:val="22"/>
        </w:rPr>
        <w:t xml:space="preserve">Report Date: November 30, 2025   |   Version 1.0</w:t>
      </w:r>
    </w:p>
    <w:p>
      <w:pPr>
        <w:spacing w:after="40"/>
        <w:jc w:val="center"/>
      </w:pPr>
      <w:r>
        <w:rPr>
          <w:rFonts w:ascii="Calibri" w:cs="Calibri" w:eastAsia="Calibri" w:hAnsi="Calibri"/>
          <w:color w:val="666666"/>
          <w:sz w:val="22"/>
          <w:szCs w:val="22"/>
        </w:rPr>
        <w:t xml:space="preserve">Incident Reference: IR-PRW-20251130</w:t>
      </w:r>
    </w:p>
    <w:p>
      <w:pPr>
        <w:spacing w:before="400"/>
        <w:jc w:val="center"/>
      </w:pPr>
      <w:r>
        <w:rPr>
          <w:rFonts w:ascii="Calibri" w:cs="Calibri" w:eastAsia="Calibri" w:hAnsi="Calibri"/>
          <w:b/>
          <w:bCs/>
          <w:color w:val="666666"/>
          <w:sz w:val="20"/>
          <w:szCs w:val="20"/>
        </w:rPr>
        <w:t xml:space="preserve">CONFIDENTIAL</w:t>
      </w:r>
    </w:p>
    <w:p>
      <w:r>
        <w:br w:type="page"/>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Metadata</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880"/>
      </w:tblGrid>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Client / Organization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Proseware Mechanical</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Primary M365 Domain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proseware.com</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Prepared By</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Your Organization]</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Date</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Report Version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Classification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CONFIDENTIAL</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Reference ID</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IR-PRW-20251130</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Distribution</w:t>
            </w:r>
          </w:p>
        </w:tc>
        <w:tc>
          <w:tcPr>
            <w:tcW w:type="dxa" w:w="6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[Named recipients only]</w:t>
            </w:r>
          </w:p>
        </w:tc>
      </w:tr>
    </w:tbl>
    <w:p>
      <w:pPr>
        <w:spacing w:after="120" w:before="80" w:line="264"/>
      </w:pPr>
      <w:r>
        <w:rPr>
          <w:rFonts w:ascii="Calibri" w:cs="Calibri" w:eastAsia="Calibri" w:hAnsi="Calibri"/>
          <w:b w:val="false"/>
          <w:bCs w:val="false"/>
          <w:i/>
          <w:iCs/>
          <w:color w:val="666666"/>
          <w:sz w:val="20"/>
          <w:szCs w:val="20"/>
        </w:rPr>
        <w:t xml:space="preserve">This report contains sensitive information. Handle according to the classification above. Do not distribute beyond the named recipients without authorization.</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 Executive Summary</w:t>
      </w:r>
    </w:p>
    <w:p>
      <w:pPr>
        <w:pStyle w:val="Heading2"/>
        <w:keepNext/>
        <w:spacing w:after="80" w:before="180"/>
      </w:pPr>
      <w:r>
        <w:rPr>
          <w:rFonts w:ascii="Calibri" w:cs="Calibri" w:eastAsia="Calibri" w:hAnsi="Calibri"/>
          <w:b/>
          <w:bCs/>
          <w:color w:val="2F5496"/>
          <w:sz w:val="24"/>
          <w:szCs w:val="24"/>
        </w:rPr>
        <w:t xml:space="preserve">1.1 Summary of Incident</w:t>
      </w:r>
    </w:p>
    <w:p>
      <w:pPr>
        <w:spacing w:after="120" w:before="0" w:line="264"/>
      </w:pPr>
      <w:r>
        <w:rPr>
          <w:rFonts w:ascii="Calibri" w:cs="Calibri" w:eastAsia="Calibri" w:hAnsi="Calibri"/>
          <w:b w:val="false"/>
          <w:bCs w:val="false"/>
          <w:i w:val="false"/>
          <w:iCs w:val="false"/>
          <w:color w:val="1A1A1A"/>
          <w:sz w:val="22"/>
          <w:szCs w:val="22"/>
        </w:rPr>
        <w:t xml:space="preserve">On November 30, 2025 (UTC), Proseware Mechanical experienced a business email compromise affecting the mailbox “mark@proseware.com.” A threat actor gained access to the account and established persistence by two means: a malicious inbox rule and an OAuth consent grant to a third-party mail application. The activity was identified during review of sign-in and audit telemetry, and containment actions were completed the same day.</w:t>
      </w:r>
    </w:p>
    <w:p>
      <w:pPr>
        <w:spacing w:after="120" w:before="0" w:line="264"/>
      </w:pPr>
      <w:r>
        <w:rPr>
          <w:rFonts w:ascii="Calibri" w:cs="Calibri" w:eastAsia="Calibri" w:hAnsi="Calibri"/>
          <w:b w:val="false"/>
          <w:bCs w:val="false"/>
          <w:i w:val="false"/>
          <w:iCs w:val="false"/>
          <w:color w:val="1A1A1A"/>
          <w:sz w:val="22"/>
          <w:szCs w:val="22"/>
        </w:rPr>
        <w:t xml:space="preserve">Suspicious interactive sign-ins to the account originated from geographically dispersed United States locations, including Dallas, Los Angeles, Atlanta, and Illinois, inconsistent with the user’s normal activity. Multi-factor authentication was not enforced on the account, leaving it protected by password only. After gaining access, the threat actor created an inbox rule named “.” that moved incoming messages to Deleted Items (hiding or discarding inbound mail), and authorized the “eM Client” application (service principal 7233baa3-d7f4-4a0b-a3fa-c892cdfd5fb0) via an OAuth consent grant, providing a persistent, browserless path to mailbox contents.</w:t>
      </w:r>
    </w:p>
    <w:p>
      <w:pPr>
        <w:spacing w:after="120" w:before="0" w:line="264"/>
      </w:pPr>
      <w:r>
        <w:rPr>
          <w:rFonts w:ascii="Calibri" w:cs="Calibri" w:eastAsia="Calibri" w:hAnsi="Calibri"/>
          <w:b w:val="false"/>
          <w:bCs w:val="false"/>
          <w:i w:val="false"/>
          <w:iCs w:val="false"/>
          <w:color w:val="1A1A1A"/>
          <w:sz w:val="22"/>
          <w:szCs w:val="22"/>
        </w:rPr>
        <w:t xml:space="preserve">Compromise was contained to the single mailbox. No mass phishing send, ransomware, or tenant-wide mail-flow (transport rule) tampering was identified, and outbound message tracing confirmed no email blast. A tenant-wide observation of note is that MFA is disabled or weak across most of the tenant, including privileged accounts, which materially raises the likelihood of recurrence.</w:t>
      </w:r>
    </w:p>
    <w:p>
      <w:pPr>
        <w:pStyle w:val="Heading2"/>
        <w:keepNext/>
        <w:spacing w:after="80" w:before="180"/>
      </w:pPr>
      <w:r>
        <w:rPr>
          <w:rFonts w:ascii="Calibri" w:cs="Calibri" w:eastAsia="Calibri" w:hAnsi="Calibri"/>
          <w:b/>
          <w:bCs/>
          <w:color w:val="2F5496"/>
          <w:sz w:val="24"/>
          <w:szCs w:val="24"/>
        </w:rPr>
        <w:t xml:space="preserve">1.2 Current Status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Status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Contained and Eradicated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Affected Accounts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 (mark@proseware.com)</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Financial Loss (known)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confirmed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Data Exposure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Indeterminate; OAuth grant could permit programmatic mailbox access; no bulk exfil evidenced</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Regulatory Notification</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 by client and counsel</w:t>
            </w:r>
          </w:p>
        </w:tc>
      </w:tr>
    </w:tbl>
    <w:p>
      <w:pPr>
        <w:pStyle w:val="Heading2"/>
        <w:keepNext/>
        <w:spacing w:after="80" w:before="180"/>
      </w:pPr>
      <w:r>
        <w:rPr>
          <w:rFonts w:ascii="Calibri" w:cs="Calibri" w:eastAsia="Calibri" w:hAnsi="Calibri"/>
          <w:b/>
          <w:bCs/>
          <w:color w:val="2F5496"/>
          <w:sz w:val="24"/>
          <w:szCs w:val="24"/>
        </w:rPr>
        <w:t xml:space="preserve">1.3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 single mailbox was compromised on an account with no MFA; sign-ins came from dispersed US locations inconsistent with the user.</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threat actor established two persistence mechanisms: an inbox rule “.” moving inbound mail to Deleted Items, and an OAuth consent grant to the “eM Client” application.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inbox rule created a window in which legitimate mail (including fraud or reset notifications) could have been hidden from the user.</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outbound phishing blast, ransomware, or transport-rule tampering was identified; impact was limited to the single mailbox.</w:t>
      </w:r>
    </w:p>
    <w:p>
      <w:pPr>
        <w:pStyle w:val="Heading2"/>
        <w:keepNext/>
        <w:spacing w:after="80" w:before="180"/>
      </w:pPr>
      <w:r>
        <w:rPr>
          <w:rFonts w:ascii="Calibri" w:cs="Calibri" w:eastAsia="Calibri" w:hAnsi="Calibri"/>
          <w:b/>
          <w:bCs/>
          <w:color w:val="2F5496"/>
          <w:sz w:val="24"/>
          <w:szCs w:val="24"/>
        </w:rPr>
        <w:t xml:space="preserve">1.4 Priority Recommendations</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Enforce MFA tenant-wide, prioritizing administrator accounts; account review indicates MFA is disabled or weak across most of the tenant.</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Restrict end-user OAuth application consent and require admin approval for new grants to prevent illicit consent such as the eM Client authorization.</w:t>
      </w:r>
    </w:p>
    <w:p>
      <w:pPr>
        <w:pStyle w:val="ListParagraph"/>
        <w:numPr>
          <w:ilvl w:val="0"/>
          <w:numId w:val="3"/>
        </w:numPr>
        <w:spacing w:after="60" w:line="264"/>
      </w:pPr>
      <w:r>
        <w:rPr>
          <w:rFonts w:ascii="Calibri" w:cs="Calibri" w:eastAsia="Calibri" w:hAnsi="Calibri"/>
          <w:b w:val="false"/>
          <w:bCs w:val="false"/>
          <w:i w:val="false"/>
          <w:iCs w:val="false"/>
          <w:color w:val="1A1A1A"/>
          <w:sz w:val="22"/>
          <w:szCs w:val="22"/>
        </w:rPr>
        <w:t xml:space="preserve">Alert on high-risk mailbox events: inbox rules that delete or move mail, and new OAuth consent grants.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2. Incident Overview</w:t>
      </w:r>
    </w:p>
    <w:p>
      <w:pPr>
        <w:pStyle w:val="Heading2"/>
        <w:keepNext/>
        <w:spacing w:after="80" w:before="180"/>
      </w:pPr>
      <w:r>
        <w:rPr>
          <w:rFonts w:ascii="Calibri" w:cs="Calibri" w:eastAsia="Calibri" w:hAnsi="Calibri"/>
          <w:b/>
          <w:bCs/>
          <w:color w:val="2F5496"/>
          <w:sz w:val="24"/>
          <w:szCs w:val="24"/>
        </w:rPr>
        <w:t xml:space="preserve">2.1 Incident Details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Business Email Compromise (BEC)</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Sub-category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Credential compromise; persistence via inbox rule and illicit OAuth consent</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Initial Detection Date + Source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 discovery of a malicious inbox rule / telemetry review</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Estimated Initial Compromise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 (UTC)</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Containment Date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 (same day)</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Eradication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 (rule and OAuth grant removed; auth methods reset)</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Incident Duration (dwell time)</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Same-day; bounded by available telemetry</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Tenant Licensing Tier</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Standard; UAL available</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Unified Audit Log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Mailbox Auditing Enabled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Yes</w:t>
            </w:r>
          </w:p>
        </w:tc>
      </w:tr>
    </w:tbl>
    <w:p>
      <w:pPr>
        <w:pStyle w:val="Heading2"/>
        <w:keepNext/>
        <w:spacing w:after="80" w:before="180"/>
      </w:pPr>
      <w:r>
        <w:rPr>
          <w:rFonts w:ascii="Calibri" w:cs="Calibri" w:eastAsia="Calibri" w:hAnsi="Calibri"/>
          <w:b/>
          <w:bCs/>
          <w:color w:val="2F5496"/>
          <w:sz w:val="24"/>
          <w:szCs w:val="24"/>
        </w:rPr>
        <w:t xml:space="preserve">2.2 Investigation Engagement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480"/>
      </w:tblGrid>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Requested By</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contact, Proseware Mechanical]</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Engagement Started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Investigator(s)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 Certifications], [Your Organization]</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Investigation Completed</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Scope of Engagement</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Investigate a malicious inbox rule discovered on mark@proseware.com; scope compromise, persistence, and tenant exposure.</w:t>
            </w:r>
          </w:p>
        </w:tc>
      </w:tr>
      <w:tr>
        <w:tc>
          <w:tcPr>
            <w:tcW w:type="dxa" w:w="36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Constraints / Limitations</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Dwell-time start bounded by telemetry; tenant-wide weak MFA increases uncertainty of blast radius.</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3. Scope and Impact</w:t>
      </w:r>
    </w:p>
    <w:p>
      <w:pPr>
        <w:pStyle w:val="Heading2"/>
        <w:keepNext/>
        <w:spacing w:after="80" w:before="180"/>
      </w:pPr>
      <w:r>
        <w:rPr>
          <w:rFonts w:ascii="Calibri" w:cs="Calibri" w:eastAsia="Calibri" w:hAnsi="Calibri"/>
          <w:b/>
          <w:bCs/>
          <w:color w:val="2F5496"/>
          <w:sz w:val="24"/>
          <w:szCs w:val="24"/>
        </w:rPr>
        <w:t xml:space="preserve">3.1 Affected User Accounts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1700"/>
        <w:gridCol w:w="1700"/>
        <w:gridCol w:w="3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User (UPN)</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1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Compromise Type</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Impact Summary</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mark@proseware.com</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Standard user</w:t>
            </w:r>
          </w:p>
        </w:tc>
        <w:tc>
          <w:tcPr>
            <w:tcW w:type="dxa" w:w="1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No-MFA compromise; inbox rule to Deleted Items; eM Client OAuth consent persistence.</w:t>
            </w:r>
          </w:p>
        </w:tc>
      </w:tr>
    </w:tbl>
    <w:p>
      <w:pPr>
        <w:pStyle w:val="Heading2"/>
        <w:keepNext/>
        <w:spacing w:after="80" w:before="180"/>
      </w:pPr>
      <w:r>
        <w:rPr>
          <w:rFonts w:ascii="Calibri" w:cs="Calibri" w:eastAsia="Calibri" w:hAnsi="Calibri"/>
          <w:b/>
          <w:bCs/>
          <w:color w:val="2F5496"/>
          <w:sz w:val="24"/>
          <w:szCs w:val="24"/>
        </w:rPr>
        <w:t xml:space="preserve">3.2 Financial Impact</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5880"/>
      </w:tblGrid>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Confirmed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Attempted Fraudulent Transfers</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Recovered</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applicable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Funds Pending Recovery</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Not applicable</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Business Disruption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Minimal; single mailbox</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1A1A1A"/>
                <w:sz w:val="20"/>
                <w:szCs w:val="20"/>
              </w:rPr>
              <w:t xml:space="preserve">Response &amp; Remediation Cost (est.)</w:t>
            </w:r>
          </w:p>
        </w:tc>
        <w:tc>
          <w:tcPr>
            <w:tcW w:type="dxa" w:w="58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[To be completed by client]</w:t>
            </w:r>
          </w:p>
        </w:tc>
      </w:tr>
    </w:tbl>
    <w:p>
      <w:pPr>
        <w:pStyle w:val="Heading2"/>
        <w:keepNext/>
        <w:spacing w:after="80" w:before="180"/>
      </w:pPr>
      <w:r>
        <w:rPr>
          <w:rFonts w:ascii="Calibri" w:cs="Calibri" w:eastAsia="Calibri" w:hAnsi="Calibri"/>
          <w:b/>
          <w:bCs/>
          <w:color w:val="2F5496"/>
          <w:sz w:val="24"/>
          <w:szCs w:val="24"/>
        </w:rPr>
        <w:t xml:space="preserve">3.3 Data Exposure</w:t>
      </w:r>
    </w:p>
    <w:p>
      <w:pPr>
        <w:spacing w:after="120" w:before="0" w:line="264"/>
      </w:pPr>
      <w:r>
        <w:rPr>
          <w:rFonts w:ascii="Calibri" w:cs="Calibri" w:eastAsia="Calibri" w:hAnsi="Calibri"/>
          <w:b w:val="false"/>
          <w:bCs w:val="false"/>
          <w:i w:val="false"/>
          <w:iCs w:val="false"/>
          <w:color w:val="1A1A1A"/>
          <w:sz w:val="22"/>
          <w:szCs w:val="22"/>
        </w:rPr>
        <w:t xml:space="preserve">The eM Client OAuth grant could have permitted programmatic access to mailbox contents outside of a browser session. No bulk data-exfiltration send was found in outbound message tracing, but the grant’s presence means mailbox contents were reachable during its validity. Detail is provided in Section 8.</w:t>
      </w:r>
    </w:p>
    <w:p>
      <w:pPr>
        <w:pStyle w:val="Heading2"/>
        <w:keepNext/>
        <w:spacing w:after="80" w:before="180"/>
      </w:pPr>
      <w:r>
        <w:rPr>
          <w:rFonts w:ascii="Calibri" w:cs="Calibri" w:eastAsia="Calibri" w:hAnsi="Calibri"/>
          <w:b/>
          <w:bCs/>
          <w:color w:val="2F5496"/>
          <w:sz w:val="24"/>
          <w:szCs w:val="24"/>
        </w:rPr>
        <w:t xml:space="preserve">3.4 Regulatory and Contractual Notification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2600"/>
        <w:gridCol w:w="4480"/>
      </w:tblGrid>
      <w:tr>
        <w:trPr>
          <w:tblHeader/>
        </w:trPr>
        <w:tc>
          <w:tcPr>
            <w:tcW w:type="dxa" w:w="3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Framework</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Preliminary Applicability</w:t>
            </w:r>
          </w:p>
        </w:tc>
        <w:tc>
          <w:tcPr>
            <w:tcW w:type="dxa" w:w="4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State Data Breach Laws</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Assess whether mailbox contents include regulated PII.</w:t>
            </w:r>
          </w:p>
        </w:tc>
      </w:tr>
      <w:tr>
        <w:tc>
          <w:tcPr>
            <w:tcW w:type="dxa" w:w="3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Contractual</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Assess counterparty obligations.</w:t>
            </w:r>
          </w:p>
        </w:tc>
      </w:tr>
      <w:tr>
        <w:tc>
          <w:tcPr>
            <w:tcW w:type="dxa" w:w="3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Cyber Insurance</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Under review</w:t>
            </w:r>
          </w:p>
        </w:tc>
        <w:tc>
          <w:tcPr>
            <w:tcW w:type="dxa" w:w="4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Client to review carrier terms.</w:t>
            </w:r>
          </w:p>
        </w:tc>
      </w:tr>
    </w:tbl>
    <w:p>
      <w:pPr>
        <w:spacing w:after="120" w:before="60" w:line="264"/>
      </w:pPr>
      <w:r>
        <w:rPr>
          <w:rFonts w:ascii="Calibri" w:cs="Calibri" w:eastAsia="Calibri" w:hAnsi="Calibri"/>
          <w:b w:val="false"/>
          <w:bCs w:val="false"/>
          <w:i/>
          <w:iCs/>
          <w:color w:val="666666"/>
          <w:sz w:val="20"/>
          <w:szCs w:val="20"/>
        </w:rPr>
        <w:t xml:space="preserve">Final legal determinations regarding notification obligations are the responsibility of the client and its counsel, not the investigator.</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4. Investigation Methodology</w:t>
      </w:r>
    </w:p>
    <w:p>
      <w:pPr>
        <w:pStyle w:val="Heading2"/>
        <w:keepNext/>
        <w:spacing w:after="80" w:before="180"/>
      </w:pPr>
      <w:r>
        <w:rPr>
          <w:rFonts w:ascii="Calibri" w:cs="Calibri" w:eastAsia="Calibri" w:hAnsi="Calibri"/>
          <w:b/>
          <w:bCs/>
          <w:color w:val="2F5496"/>
          <w:sz w:val="24"/>
          <w:szCs w:val="24"/>
        </w:rPr>
        <w:t xml:space="preserve">4.1 Investigation Approach</w:t>
      </w:r>
    </w:p>
    <w:p>
      <w:pPr>
        <w:spacing w:after="120" w:before="0" w:line="264"/>
      </w:pPr>
      <w:r>
        <w:rPr>
          <w:rFonts w:ascii="Calibri" w:cs="Calibri" w:eastAsia="Calibri" w:hAnsi="Calibri"/>
          <w:b w:val="false"/>
          <w:bCs w:val="false"/>
          <w:i w:val="false"/>
          <w:iCs w:val="false"/>
          <w:color w:val="1A1A1A"/>
          <w:sz w:val="22"/>
          <w:szCs w:val="22"/>
        </w:rPr>
        <w:t xml:space="preserve">The investigation followed a Microsoft 365 BEC playbook. Sign-in telemetry was correlated with inbox-rule change logs, enterprise-application (OAuth) consent records, mailbox forwarding and permission state, and transport-rule configuration to establish persistence and bound impact.</w:t>
      </w:r>
    </w:p>
    <w:p>
      <w:pPr>
        <w:spacing w:after="120" w:before="0" w:line="264"/>
      </w:pPr>
      <w:r>
        <w:rPr>
          <w:rFonts w:ascii="Calibri" w:cs="Calibri" w:eastAsia="Calibri" w:hAnsi="Calibri"/>
          <w:b w:val="false"/>
          <w:bCs w:val="false"/>
          <w:i w:val="false"/>
          <w:iCs w:val="false"/>
          <w:color w:val="1A1A1A"/>
          <w:sz w:val="22"/>
          <w:szCs w:val="22"/>
        </w:rPr>
        <w:t xml:space="preserve">Outbound message tracing was reviewed to rule out a phishing blast or bulk exfiltration send. Tenant-wide MFA posture was assessed from the MFA account-settings report.</w:t>
      </w:r>
    </w:p>
    <w:p>
      <w:pPr>
        <w:pStyle w:val="Heading2"/>
        <w:keepNext/>
        <w:spacing w:after="80" w:before="180"/>
      </w:pPr>
      <w:r>
        <w:rPr>
          <w:rFonts w:ascii="Calibri" w:cs="Calibri" w:eastAsia="Calibri" w:hAnsi="Calibri"/>
          <w:b/>
          <w:bCs/>
          <w:color w:val="2F5496"/>
          <w:sz w:val="24"/>
          <w:szCs w:val="24"/>
        </w:rPr>
        <w:t xml:space="preserve">4.2 Evidence Sources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4200"/>
        <w:gridCol w:w="2400"/>
        <w:gridCol w:w="3480"/>
      </w:tblGrid>
      <w:tr>
        <w:trPr>
          <w:tblHeader/>
        </w:trPr>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Source</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Retention Period</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Collected (range)</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Interactive Sign-In Logs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 24 – Nov 30, 2025</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Logs</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 21 – Nov 30, 2025</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Unified Audit Log (Sign-Ins)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Oct 21 – Oct 31, 2025 window collected</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Enterprise Applications / OAuth Consents</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Point-in-time</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Collected Nov 30, 2025</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Logs</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Per tenant retention</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 21 – Nov 30, 2025</w:t>
            </w:r>
          </w:p>
        </w:tc>
      </w:tr>
      <w:tr>
        <w:tc>
          <w:tcPr>
            <w:tcW w:type="dxa" w:w="4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Mailbox Forwarding / Permissions</w:t>
            </w:r>
          </w:p>
        </w:tc>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Point-in-time</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Collected Nov 30, 2025</w:t>
            </w:r>
          </w:p>
        </w:tc>
      </w:tr>
      <w:tr>
        <w:tc>
          <w:tcPr>
            <w:tcW w:type="dxa" w:w="4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MFA Account Settings Report</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Point-in-time</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Collected Nov 30, 2025</w:t>
            </w:r>
          </w:p>
        </w:tc>
      </w:tr>
    </w:tbl>
    <w:p>
      <w:pPr>
        <w:pStyle w:val="Heading2"/>
        <w:keepNext/>
        <w:spacing w:after="80" w:before="180"/>
      </w:pPr>
      <w:r>
        <w:rPr>
          <w:rFonts w:ascii="Calibri" w:cs="Calibri" w:eastAsia="Calibri" w:hAnsi="Calibri"/>
          <w:b/>
          <w:bCs/>
          <w:color w:val="2F5496"/>
          <w:sz w:val="24"/>
          <w:szCs w:val="24"/>
        </w:rPr>
        <w:t xml:space="preserve">4.3 Tools and Scripts Used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M365IRScripts collection (https://github.com/bitpusher2k/M365IRScripts).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Graph PowerShell SDK.</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Exchange Online PowerShell module.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Microsoft Defender and Purview portals (compliance search and purge).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IP reputation and enrichment services (GeoLite2, ipapi.is, Scamalytics, findip.net).</w:t>
      </w:r>
    </w:p>
    <w:p>
      <w:pPr>
        <w:pStyle w:val="Heading2"/>
        <w:keepNext/>
        <w:spacing w:after="80" w:before="180"/>
      </w:pPr>
      <w:r>
        <w:rPr>
          <w:rFonts w:ascii="Calibri" w:cs="Calibri" w:eastAsia="Calibri" w:hAnsi="Calibri"/>
          <w:b/>
          <w:bCs/>
          <w:color w:val="2F5496"/>
          <w:sz w:val="24"/>
          <w:szCs w:val="24"/>
        </w:rPr>
        <w:t xml:space="preserve">4.4 Chain of Custody and Evidence Handling</w:t>
      </w:r>
    </w:p>
    <w:p>
      <w:pPr>
        <w:spacing w:after="120" w:before="0" w:line="264"/>
      </w:pPr>
      <w:r>
        <w:rPr>
          <w:rFonts w:ascii="Calibri" w:cs="Calibri" w:eastAsia="Calibri" w:hAnsi="Calibri"/>
          <w:b w:val="false"/>
          <w:bCs w:val="false"/>
          <w:i w:val="false"/>
          <w:iCs w:val="false"/>
          <w:color w:val="1A1A1A"/>
          <w:sz w:val="22"/>
          <w:szCs w:val="22"/>
        </w:rPr>
        <w:t xml:space="preserve">Collected artifacts (CSV/JSON/TXT log exports and processed, IP-enriched workbooks) were retained in a restricted-access case folder limited to assigned investigators. Exports were preserved in their original form alongside processed copies, and file integrity was maintained through controlled, read-only handling of the source exports. Artifacts are retained per the engagement's retention terms.</w:t>
      </w:r>
    </w:p>
    <w:p>
      <w:pPr>
        <w:pStyle w:val="Heading2"/>
        <w:keepNext/>
        <w:spacing w:after="80" w:before="180"/>
      </w:pPr>
      <w:r>
        <w:rPr>
          <w:rFonts w:ascii="Calibri" w:cs="Calibri" w:eastAsia="Calibri" w:hAnsi="Calibri"/>
          <w:b/>
          <w:bCs/>
          <w:color w:val="2F5496"/>
          <w:sz w:val="24"/>
          <w:szCs w:val="24"/>
        </w:rPr>
        <w:t xml:space="preserve">4.5 Assumptions and Limitations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precise start of unauthorized access is bounded by available telemetry; the exact initial-access event was not isolated to a single credential-theft artifact.</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eM Client grant’s actual use for data retrieval could not be fully quantified from the available logs; its presence is treated as a capability rather than confirmed bulk exfiltration.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Timestamps are in UTC.</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5. Timeline of Events</w:t>
      </w:r>
    </w:p>
    <w:p>
      <w:pPr>
        <w:spacing w:after="120" w:before="0" w:line="264"/>
      </w:pPr>
      <w:r>
        <w:rPr>
          <w:rFonts w:ascii="Calibri" w:cs="Calibri" w:eastAsia="Calibri" w:hAnsi="Calibri"/>
          <w:b w:val="false"/>
          <w:bCs w:val="false"/>
          <w:i/>
          <w:iCs/>
          <w:color w:val="666666"/>
          <w:sz w:val="20"/>
          <w:szCs w:val="20"/>
        </w:rPr>
        <w:t xml:space="preserve">All times are in UTC unless otherwise noted.</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950"/>
        <w:gridCol w:w="1350"/>
        <w:gridCol w:w="4400"/>
        <w:gridCol w:w="2380"/>
      </w:tblGrid>
      <w:tr>
        <w:trPr>
          <w:tblHeader/>
        </w:trPr>
        <w:tc>
          <w:tcPr>
            <w:tcW w:type="dxa" w:w="19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135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Actor</w:t>
            </w:r>
          </w:p>
        </w:tc>
        <w:tc>
          <w:tcPr>
            <w:tcW w:type="dxa" w:w="4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Event</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Evidence Source</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2025-10-30 14:42</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Context</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eM Client service principal (7233baa3-…) first appears in tenant (app registration)</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Enterprise Applications</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 (UTC)</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Suspicious interactive sign-ins from dispersed US locations (Dallas, LA, Atlanta, Illinois)</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Interactive Sign-In Log</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Created inbox rule “.” moving incoming messages to Deleted Items</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Attacker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Authorized “eM Client” application via OAuth consent grant</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Enterprise Applications / Audit</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Disabled account; revoked sessions; reset password (temp password by phone)</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 Log</w:t>
            </w:r>
          </w:p>
        </w:tc>
      </w:tr>
      <w:tr>
        <w:tc>
          <w:tcPr>
            <w:tcW w:type="dxa" w:w="19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135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Removed inbox rule; removed eM Client consent; reset registered auth methods</w:t>
            </w:r>
          </w:p>
        </w:tc>
        <w:tc>
          <w:tcPr>
            <w:tcW w:type="dxa" w:w="23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Audit / Config review</w:t>
            </w:r>
          </w:p>
        </w:tc>
      </w:tr>
      <w:tr>
        <w:tc>
          <w:tcPr>
            <w:tcW w:type="dxa" w:w="19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135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Responder</w:t>
            </w:r>
          </w:p>
        </w:tc>
        <w:tc>
          <w:tcPr>
            <w:tcW w:type="dxa" w:w="4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Reviewed outbound tracing, no blast or bulk send</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Message Trace</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6. Technical Findings</w:t>
      </w:r>
    </w:p>
    <w:p>
      <w:pPr>
        <w:pStyle w:val="Heading2"/>
        <w:keepNext/>
        <w:spacing w:after="80" w:before="180"/>
      </w:pPr>
      <w:r>
        <w:rPr>
          <w:rFonts w:ascii="Calibri" w:cs="Calibri" w:eastAsia="Calibri" w:hAnsi="Calibri"/>
          <w:b/>
          <w:bCs/>
          <w:color w:val="2F5496"/>
          <w:sz w:val="24"/>
          <w:szCs w:val="24"/>
        </w:rPr>
        <w:t xml:space="preserve">6.1 Initial Access</w:t>
      </w:r>
    </w:p>
    <w:p>
      <w:pPr>
        <w:spacing w:after="120" w:before="0" w:line="264"/>
      </w:pPr>
      <w:r>
        <w:rPr>
          <w:rFonts w:ascii="Calibri" w:cs="Calibri" w:eastAsia="Calibri" w:hAnsi="Calibri"/>
          <w:b w:val="false"/>
          <w:bCs w:val="false"/>
          <w:i w:val="false"/>
          <w:iCs w:val="false"/>
          <w:color w:val="1A1A1A"/>
          <w:sz w:val="22"/>
          <w:szCs w:val="22"/>
        </w:rPr>
        <w:t xml:space="preserve">Initial access was to an account protected by password only (no MFA). Sign-ins came from geographically dispersed US locations inconsistent with the user, suggesting use of proxy or distributed infrastructure. The specific credential-theft vector is inferred; no MFA challenge existed to bypass.</w:t>
      </w:r>
    </w:p>
    <w:p>
      <w:pPr>
        <w:pStyle w:val="Heading2"/>
        <w:keepNext/>
        <w:spacing w:after="80" w:before="180"/>
      </w:pPr>
      <w:r>
        <w:rPr>
          <w:rFonts w:ascii="Calibri" w:cs="Calibri" w:eastAsia="Calibri" w:hAnsi="Calibri"/>
          <w:b/>
          <w:bCs/>
          <w:color w:val="2F5496"/>
          <w:sz w:val="24"/>
          <w:szCs w:val="24"/>
        </w:rPr>
        <w:t xml:space="preserve">6.2 Authentication and Session Establishment</w:t>
      </w:r>
    </w:p>
    <w:p>
      <w:pPr>
        <w:spacing w:after="120" w:before="0" w:line="264"/>
      </w:pPr>
      <w:r>
        <w:rPr>
          <w:rFonts w:ascii="Calibri" w:cs="Calibri" w:eastAsia="Calibri" w:hAnsi="Calibri"/>
          <w:b w:val="false"/>
          <w:bCs w:val="false"/>
          <w:i w:val="false"/>
          <w:iCs w:val="false"/>
          <w:color w:val="1A1A1A"/>
          <w:sz w:val="22"/>
          <w:szCs w:val="22"/>
        </w:rPr>
        <w:t xml:space="preserve">Interactive sign-ins to the account were observed from Dallas, Los Angeles, Atlanta, and Illinois. The geographic spread within a short period is inconsistent with a single legitimate user and is characteristic of distributed or proxied access. No Conditional Access policy challenged these sign-ins.</w:t>
      </w:r>
    </w:p>
    <w:p>
      <w:pPr>
        <w:pStyle w:val="Heading2"/>
        <w:keepNext/>
        <w:spacing w:after="80" w:before="180"/>
      </w:pPr>
      <w:r>
        <w:rPr>
          <w:rFonts w:ascii="Calibri" w:cs="Calibri" w:eastAsia="Calibri" w:hAnsi="Calibri"/>
          <w:b/>
          <w:bCs/>
          <w:color w:val="2F5496"/>
          <w:sz w:val="24"/>
          <w:szCs w:val="24"/>
        </w:rPr>
        <w:t xml:space="preserve">6.3 Persistence Mechanisms</w:t>
      </w:r>
    </w:p>
    <w:p>
      <w:pPr>
        <w:spacing w:after="120" w:before="0" w:line="264"/>
      </w:pPr>
      <w:r>
        <w:rPr>
          <w:rFonts w:ascii="Calibri" w:cs="Calibri" w:eastAsia="Calibri" w:hAnsi="Calibri"/>
          <w:b w:val="false"/>
          <w:bCs w:val="false"/>
          <w:i w:val="false"/>
          <w:iCs w:val="false"/>
          <w:color w:val="1A1A1A"/>
          <w:sz w:val="22"/>
          <w:szCs w:val="22"/>
        </w:rPr>
        <w:t xml:space="preserve">The threat actor established two persistence mechanisms, notable because they provide different access paths (mailbox manipulation and programmatic API access):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Inbox Rule: “.”, move incoming messages to Deleted Items, hiding or discarding inbound mail (including potential fraud or reset notifications).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OAuth Application Consent: granted to “eM Client” (service principal 7233baa3-d7f4-4a0b-a3fa-c892cdfd5fb0), enabling browserless, token-based access to mailbox contents.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Mail Forwarding: none configured.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Delegate / Mailbox Permissions: no changes.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Tenant-Level Changes: no transport-rule, connector, or federation modifications observed.</w:t>
      </w:r>
    </w:p>
    <w:p>
      <w:pPr>
        <w:pStyle w:val="Heading2"/>
        <w:keepNext/>
        <w:spacing w:after="80" w:before="180"/>
      </w:pPr>
      <w:r>
        <w:rPr>
          <w:rFonts w:ascii="Calibri" w:cs="Calibri" w:eastAsia="Calibri" w:hAnsi="Calibri"/>
          <w:b/>
          <w:bCs/>
          <w:color w:val="2F5496"/>
          <w:sz w:val="24"/>
          <w:szCs w:val="24"/>
        </w:rPr>
        <w:t xml:space="preserve">6.4 Reconnaissance and Collection</w:t>
      </w:r>
    </w:p>
    <w:p>
      <w:pPr>
        <w:spacing w:after="120" w:before="0" w:line="264"/>
      </w:pPr>
      <w:r>
        <w:rPr>
          <w:rFonts w:ascii="Calibri" w:cs="Calibri" w:eastAsia="Calibri" w:hAnsi="Calibri"/>
          <w:b w:val="false"/>
          <w:bCs w:val="false"/>
          <w:i w:val="false"/>
          <w:iCs w:val="false"/>
          <w:color w:val="1A1A1A"/>
          <w:sz w:val="22"/>
          <w:szCs w:val="22"/>
        </w:rPr>
        <w:t xml:space="preserve">The threat actor accessed the mailbox interactively; the inbox rule to Deleted Items suggests an intent to suppress specific inbound mail rather than to broadly collect. Item-level read enumeration was limited by available logging.</w:t>
      </w:r>
    </w:p>
    <w:p>
      <w:pPr>
        <w:pStyle w:val="Heading2"/>
        <w:keepNext/>
        <w:spacing w:after="80" w:before="180"/>
      </w:pPr>
      <w:r>
        <w:rPr>
          <w:rFonts w:ascii="Calibri" w:cs="Calibri" w:eastAsia="Calibri" w:hAnsi="Calibri"/>
          <w:b/>
          <w:bCs/>
          <w:color w:val="2F5496"/>
          <w:sz w:val="24"/>
          <w:szCs w:val="24"/>
        </w:rPr>
        <w:t xml:space="preserve">6.5 Lateral Movement</w:t>
      </w:r>
    </w:p>
    <w:p>
      <w:pPr>
        <w:spacing w:after="120" w:before="0" w:line="264"/>
      </w:pPr>
      <w:r>
        <w:rPr>
          <w:rFonts w:ascii="Calibri" w:cs="Calibri" w:eastAsia="Calibri" w:hAnsi="Calibri"/>
          <w:b w:val="false"/>
          <w:bCs w:val="false"/>
          <w:i w:val="false"/>
          <w:iCs w:val="false"/>
          <w:color w:val="1A1A1A"/>
          <w:sz w:val="22"/>
          <w:szCs w:val="22"/>
        </w:rPr>
        <w:t xml:space="preserve">No lateral movement to other tenant accounts was identified. The compromise remained contained to the single mailbox.</w:t>
      </w:r>
    </w:p>
    <w:p>
      <w:pPr>
        <w:pStyle w:val="Heading2"/>
        <w:keepNext/>
        <w:spacing w:after="80" w:before="180"/>
      </w:pPr>
      <w:r>
        <w:rPr>
          <w:rFonts w:ascii="Calibri" w:cs="Calibri" w:eastAsia="Calibri" w:hAnsi="Calibri"/>
          <w:b/>
          <w:bCs/>
          <w:color w:val="2F5496"/>
          <w:sz w:val="24"/>
          <w:szCs w:val="24"/>
        </w:rPr>
        <w:t xml:space="preserve">6.6 Exfiltration</w:t>
      </w:r>
    </w:p>
    <w:p>
      <w:pPr>
        <w:spacing w:after="120" w:before="0" w:line="264"/>
      </w:pPr>
      <w:r>
        <w:rPr>
          <w:rFonts w:ascii="Calibri" w:cs="Calibri" w:eastAsia="Calibri" w:hAnsi="Calibri"/>
          <w:b w:val="false"/>
          <w:bCs w:val="false"/>
          <w:i w:val="false"/>
          <w:iCs w:val="false"/>
          <w:color w:val="1A1A1A"/>
          <w:sz w:val="22"/>
          <w:szCs w:val="22"/>
        </w:rPr>
        <w:t xml:space="preserve">No bulk data-exfiltration send was found in outbound message tracing. The eM Client OAuth grant represents a potential exfiltration path (programmatic mailbox access), but no evidence of bulk retrieval was recovered from the available logs.</w:t>
      </w:r>
    </w:p>
    <w:p>
      <w:pPr>
        <w:pStyle w:val="Heading2"/>
        <w:keepNext/>
        <w:spacing w:after="80" w:before="180"/>
      </w:pPr>
      <w:r>
        <w:rPr>
          <w:rFonts w:ascii="Calibri" w:cs="Calibri" w:eastAsia="Calibri" w:hAnsi="Calibri"/>
          <w:b/>
          <w:bCs/>
          <w:color w:val="2F5496"/>
          <w:sz w:val="24"/>
          <w:szCs w:val="24"/>
        </w:rPr>
        <w:t xml:space="preserve">6.7 Impact Actions</w:t>
      </w:r>
    </w:p>
    <w:p>
      <w:pPr>
        <w:spacing w:after="120" w:before="0" w:line="264"/>
      </w:pPr>
      <w:r>
        <w:rPr>
          <w:rFonts w:ascii="Calibri" w:cs="Calibri" w:eastAsia="Calibri" w:hAnsi="Calibri"/>
          <w:b w:val="false"/>
          <w:bCs w:val="false"/>
          <w:i w:val="false"/>
          <w:iCs w:val="false"/>
          <w:color w:val="1A1A1A"/>
          <w:sz w:val="22"/>
          <w:szCs w:val="22"/>
        </w:rPr>
        <w:t xml:space="preserve">No mass phishing send, ransomware, or tenant-wide mail-flow tampering occurred. The observable impact was the establishment of persistence (rule and OAuth grant) and the suppression of inbound mail via the Deleted Items rule. No email blast was sent from the account.</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7. Indicators of Compromise (IOCs)</w:t>
      </w:r>
    </w:p>
    <w:p>
      <w:pPr>
        <w:pStyle w:val="Heading2"/>
        <w:keepNext/>
        <w:spacing w:after="80" w:before="180"/>
      </w:pPr>
      <w:r>
        <w:rPr>
          <w:rFonts w:ascii="Calibri" w:cs="Calibri" w:eastAsia="Calibri" w:hAnsi="Calibri"/>
          <w:b/>
          <w:bCs/>
          <w:color w:val="2F5496"/>
          <w:sz w:val="24"/>
          <w:szCs w:val="24"/>
        </w:rPr>
        <w:t xml:space="preserve">7.1 Network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3700"/>
        <w:gridCol w:w="1900"/>
        <w:gridCol w:w="3080"/>
      </w:tblGrid>
      <w:tr>
        <w:trPr>
          <w:tblHeader/>
        </w:trPr>
        <w:tc>
          <w:tcPr>
            <w:tcW w:type="dxa" w:w="15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37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First Seen (UTC)</w:t>
            </w:r>
          </w:p>
        </w:tc>
        <w:tc>
          <w:tcPr>
            <w:tcW w:type="dxa" w:w="30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15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Sign-in geography</w:t>
            </w:r>
          </w:p>
        </w:tc>
        <w:tc>
          <w:tcPr>
            <w:tcW w:type="dxa" w:w="37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Dallas, Los Angeles, Atlanta, Illinois (US)</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30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Dispersed sign-ins inconsistent with the user; proxy/distributed access suspected</w:t>
            </w:r>
          </w:p>
        </w:tc>
      </w:tr>
    </w:tbl>
    <w:p>
      <w:pPr>
        <w:pStyle w:val="Heading2"/>
        <w:keepNext/>
        <w:spacing w:after="80" w:before="180"/>
      </w:pPr>
      <w:r>
        <w:rPr>
          <w:rFonts w:ascii="Calibri" w:cs="Calibri" w:eastAsia="Calibri" w:hAnsi="Calibri"/>
          <w:b/>
          <w:bCs/>
          <w:color w:val="2F5496"/>
          <w:sz w:val="24"/>
          <w:szCs w:val="24"/>
        </w:rPr>
        <w:t xml:space="preserve">7.2 Identity and Session Indicators</w:t>
      </w:r>
    </w:p>
    <w:p>
      <w:pPr>
        <w:spacing w:after="120" w:before="0" w:line="264"/>
      </w:pPr>
      <w:r>
        <w:rPr>
          <w:rFonts w:ascii="Calibri" w:cs="Calibri" w:eastAsia="Calibri" w:hAnsi="Calibri"/>
          <w:b w:val="false"/>
          <w:bCs w:val="false"/>
          <w:i w:val="false"/>
          <w:iCs w:val="false"/>
          <w:color w:val="1A1A1A"/>
          <w:sz w:val="22"/>
          <w:szCs w:val="22"/>
        </w:rPr>
        <w:t xml:space="preserve">No distinct session or device indicators were recovered beyond the network indicators in Section 7.1 within the available log retention.</w:t>
      </w:r>
    </w:p>
    <w:p>
      <w:pPr>
        <w:pStyle w:val="Heading2"/>
        <w:keepNext/>
        <w:spacing w:after="80" w:before="180"/>
      </w:pPr>
      <w:r>
        <w:rPr>
          <w:rFonts w:ascii="Calibri" w:cs="Calibri" w:eastAsia="Calibri" w:hAnsi="Calibri"/>
          <w:b/>
          <w:bCs/>
          <w:color w:val="2F5496"/>
          <w:sz w:val="24"/>
          <w:szCs w:val="24"/>
        </w:rPr>
        <w:t xml:space="preserve">7.3 Email Indicators</w:t>
      </w:r>
    </w:p>
    <w:p>
      <w:pPr>
        <w:spacing w:after="120" w:before="0" w:line="264"/>
      </w:pPr>
      <w:r>
        <w:rPr>
          <w:rFonts w:ascii="Calibri" w:cs="Calibri" w:eastAsia="Calibri" w:hAnsi="Calibri"/>
          <w:b w:val="false"/>
          <w:bCs w:val="false"/>
          <w:i w:val="false"/>
          <w:iCs w:val="false"/>
          <w:color w:val="1A1A1A"/>
          <w:sz w:val="22"/>
          <w:szCs w:val="22"/>
        </w:rPr>
        <w:t xml:space="preserve">No malicious inbound or outbound email indicators were identified for this incident.</w:t>
      </w:r>
    </w:p>
    <w:p>
      <w:pPr>
        <w:pStyle w:val="Heading2"/>
        <w:keepNext/>
        <w:spacing w:after="80" w:before="180"/>
      </w:pPr>
      <w:r>
        <w:rPr>
          <w:rFonts w:ascii="Calibri" w:cs="Calibri" w:eastAsia="Calibri" w:hAnsi="Calibri"/>
          <w:b/>
          <w:bCs/>
          <w:color w:val="2F5496"/>
          <w:sz w:val="24"/>
          <w:szCs w:val="24"/>
        </w:rPr>
        <w:t xml:space="preserve">7.4 Application and Persistence Indicators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4200"/>
        <w:gridCol w:w="3480"/>
      </w:tblGrid>
      <w:tr>
        <w:trPr>
          <w:tblHeader/>
        </w:trPr>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Type</w:t>
            </w:r>
          </w:p>
        </w:tc>
        <w:tc>
          <w:tcPr>
            <w:tcW w:type="dxa" w:w="4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Indicator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Notes</w:t>
            </w:r>
          </w:p>
        </w:tc>
      </w:tr>
      <w:tr>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OAuth Application</w:t>
            </w:r>
          </w:p>
        </w:tc>
        <w:tc>
          <w:tcPr>
            <w:tcW w:type="dxa" w:w="4200"/>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eM Client (SP 7233baa3-d7f4-4a0b-a3fa-c892cdfd5fb0)</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Illicit consent grant; browserless mailbox access; app registered 2025-10-30</w:t>
            </w:r>
          </w:p>
        </w:tc>
      </w:tr>
      <w:tr>
        <w:tc>
          <w:tcPr>
            <w:tcW w:type="dxa" w:w="2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w:t>
            </w:r>
          </w:p>
        </w:tc>
        <w:tc>
          <w:tcPr>
            <w:tcW w:type="dxa" w:w="4200"/>
            <w:shd w:fill="F2F5FA" w:color="auto" w:val="clear"/>
            <w:tcMar>
              <w:top w:type="dxa" w:w="40"/>
              <w:left w:type="dxa" w:w="90"/>
              <w:bottom w:type="dxa" w:w="40"/>
              <w:right w:type="dxa" w:w="90"/>
            </w:tcMar>
            <w:vAlign w:val="center"/>
          </w:tcPr>
          <w:p>
            <w:pPr>
              <w:spacing w:after="0" w:line="240"/>
            </w:pPr>
            <w:r>
              <w:rPr>
                <w:rFonts w:ascii="Consolas" w:cs="Consolas" w:eastAsia="Consolas" w:hAnsi="Consolas"/>
                <w:b w:val="false"/>
                <w:bCs w:val="false"/>
                <w:i w:val="false"/>
                <w:iCs w:val="false"/>
                <w:color w:val="1A1A1A"/>
                <w:sz w:val="20"/>
                <w:szCs w:val="20"/>
              </w:rPr>
              <w:t xml:space="preserve">“.” → Deleted Items</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Suppresses inbound mail; concealment of fraud/reset notices</w:t>
            </w:r>
          </w:p>
        </w:tc>
      </w:tr>
    </w:tbl>
    <w:p>
      <w:pPr>
        <w:pStyle w:val="Heading1"/>
        <w:keepNext/>
        <w:pBdr>
          <w:bottom w:val="single" w:color="2F5496" w:sz="6" w:space="3"/>
        </w:pBdr>
        <w:spacing w:after="100" w:before="260"/>
      </w:pPr>
      <w:r>
        <w:rPr>
          <w:rFonts w:ascii="Calibri" w:cs="Calibri" w:eastAsia="Calibri" w:hAnsi="Calibri"/>
          <w:b/>
          <w:bCs/>
          <w:color w:val="2F5496"/>
          <w:sz w:val="28"/>
          <w:szCs w:val="28"/>
        </w:rPr>
        <w:t xml:space="preserve">8. Data Exposure Assessment</w:t>
      </w:r>
    </w:p>
    <w:p>
      <w:pPr>
        <w:pStyle w:val="Heading2"/>
        <w:keepNext/>
        <w:spacing w:after="80" w:before="180"/>
      </w:pPr>
      <w:r>
        <w:rPr>
          <w:rFonts w:ascii="Calibri" w:cs="Calibri" w:eastAsia="Calibri" w:hAnsi="Calibri"/>
          <w:b/>
          <w:bCs/>
          <w:color w:val="2F5496"/>
          <w:sz w:val="24"/>
          <w:szCs w:val="24"/>
        </w:rPr>
        <w:t xml:space="preserve">8.1 Methodology</w:t>
      </w:r>
    </w:p>
    <w:p>
      <w:pPr>
        <w:spacing w:after="120" w:before="0" w:line="264"/>
      </w:pPr>
      <w:r>
        <w:rPr>
          <w:rFonts w:ascii="Calibri" w:cs="Calibri" w:eastAsia="Calibri" w:hAnsi="Calibri"/>
          <w:b w:val="false"/>
          <w:bCs w:val="false"/>
          <w:i w:val="false"/>
          <w:iCs w:val="false"/>
          <w:color w:val="1A1A1A"/>
          <w:sz w:val="22"/>
          <w:szCs w:val="22"/>
        </w:rPr>
        <w:t xml:space="preserve">Exposure was assessed from the persistence artifacts and outbound tracing. Because the OAuth grant enables API-based access that does not generate interactive sign-in events, its use for data retrieval cannot be fully bounded from the available logs; this limitation is stated directly.</w:t>
      </w:r>
    </w:p>
    <w:p>
      <w:pPr>
        <w:pStyle w:val="Heading2"/>
        <w:keepNext/>
        <w:spacing w:after="80" w:before="180"/>
      </w:pPr>
      <w:r>
        <w:rPr>
          <w:rFonts w:ascii="Calibri" w:cs="Calibri" w:eastAsia="Calibri" w:hAnsi="Calibri"/>
          <w:b/>
          <w:bCs/>
          <w:color w:val="2F5496"/>
          <w:sz w:val="24"/>
          <w:szCs w:val="24"/>
        </w:rPr>
        <w:t xml:space="preserve">8.2 Mailbox Content Exposure</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1900"/>
        <w:gridCol w:w="2400"/>
        <w:gridCol w:w="2380"/>
      </w:tblGrid>
      <w:tr>
        <w:trPr>
          <w:tblHeader/>
        </w:trPr>
        <w:tc>
          <w:tcPr>
            <w:tcW w:type="dxa" w:w="28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Affected User</w:t>
            </w:r>
          </w:p>
        </w:tc>
        <w:tc>
          <w:tcPr>
            <w:tcW w:type="dxa" w:w="1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Messages Accessed</w:t>
            </w:r>
          </w:p>
        </w:tc>
        <w:tc>
          <w:tcPr>
            <w:tcW w:type="dxa" w:w="2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 Window</w:t>
            </w:r>
          </w:p>
        </w:tc>
        <w:tc>
          <w:tcPr>
            <w:tcW w:type="dxa" w:w="23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Content Categories</w:t>
            </w:r>
          </w:p>
        </w:tc>
      </w:tr>
      <w:tr>
        <w:tc>
          <w:tcPr>
            <w:tcW w:type="dxa" w:w="28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mark@proseware.com</w:t>
            </w:r>
          </w:p>
        </w:tc>
        <w:tc>
          <w:tcPr>
            <w:tcW w:type="dxa" w:w="1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Indeterminate (OAuth path)</w:t>
            </w:r>
          </w:p>
        </w:tc>
        <w:tc>
          <w:tcPr>
            <w:tcW w:type="dxa" w:w="2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 30, 2025</w:t>
            </w:r>
          </w:p>
        </w:tc>
        <w:tc>
          <w:tcPr>
            <w:tcW w:type="dxa" w:w="23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Mailbox contents reachable via eM Client grant</w:t>
            </w:r>
          </w:p>
        </w:tc>
      </w:tr>
    </w:tbl>
    <w:p>
      <w:pPr>
        <w:pStyle w:val="Heading2"/>
        <w:keepNext/>
        <w:spacing w:after="80" w:before="180"/>
      </w:pPr>
      <w:r>
        <w:rPr>
          <w:rFonts w:ascii="Calibri" w:cs="Calibri" w:eastAsia="Calibri" w:hAnsi="Calibri"/>
          <w:b/>
          <w:bCs/>
          <w:color w:val="2F5496"/>
          <w:sz w:val="24"/>
          <w:szCs w:val="24"/>
        </w:rPr>
        <w:t xml:space="preserve">8.3 File and Document Exposure</w:t>
      </w:r>
    </w:p>
    <w:p>
      <w:pPr>
        <w:spacing w:after="120" w:before="0" w:line="264"/>
      </w:pPr>
      <w:r>
        <w:rPr>
          <w:rFonts w:ascii="Calibri" w:cs="Calibri" w:eastAsia="Calibri" w:hAnsi="Calibri"/>
          <w:b w:val="false"/>
          <w:bCs w:val="false"/>
          <w:i w:val="false"/>
          <w:iCs w:val="false"/>
          <w:color w:val="1A1A1A"/>
          <w:sz w:val="22"/>
          <w:szCs w:val="22"/>
        </w:rPr>
        <w:t xml:space="preserve">No SharePoint or OneDrive file access by the threat actor was identified within the available audit scope.</w:t>
      </w:r>
    </w:p>
    <w:p>
      <w:pPr>
        <w:pStyle w:val="Heading2"/>
        <w:keepNext/>
        <w:spacing w:after="80" w:before="180"/>
      </w:pPr>
      <w:r>
        <w:rPr>
          <w:rFonts w:ascii="Calibri" w:cs="Calibri" w:eastAsia="Calibri" w:hAnsi="Calibri"/>
          <w:b/>
          <w:bCs/>
          <w:color w:val="2F5496"/>
          <w:sz w:val="24"/>
          <w:szCs w:val="24"/>
        </w:rPr>
        <w:t xml:space="preserve">8.4 Regulatory-Significant Data Categories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480"/>
      </w:tblGrid>
      <w:tr>
        <w:trPr>
          <w:tblHeader/>
        </w:trPr>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Category</w:t>
            </w:r>
          </w:p>
        </w:tc>
        <w:tc>
          <w:tcPr>
            <w:tcW w:type="dxa" w:w="6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Finding</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PII</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Indeterminate; no bulk extraction evidenced</w:t>
            </w:r>
          </w:p>
        </w:tc>
      </w:tr>
      <w:tr>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PCI / Financial Account Info</w:t>
            </w:r>
          </w:p>
        </w:tc>
        <w:tc>
          <w:tcPr>
            <w:tcW w:type="dxa" w:w="6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Indeterminate; single-mailbox scope</w:t>
            </w:r>
          </w:p>
        </w:tc>
      </w:tr>
      <w:tr>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PHI</w:t>
            </w:r>
          </w:p>
        </w:tc>
        <w:tc>
          <w:tcPr>
            <w:tcW w:type="dxa" w:w="6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None identified</w:t>
            </w:r>
          </w:p>
        </w:tc>
      </w:tr>
    </w:tbl>
    <w:p>
      <w:pPr>
        <w:pStyle w:val="Heading2"/>
        <w:keepNext/>
        <w:spacing w:after="80" w:before="180"/>
      </w:pPr>
      <w:r>
        <w:rPr>
          <w:rFonts w:ascii="Calibri" w:cs="Calibri" w:eastAsia="Calibri" w:hAnsi="Calibri"/>
          <w:b/>
          <w:bCs/>
          <w:color w:val="2F5496"/>
          <w:sz w:val="24"/>
          <w:szCs w:val="24"/>
        </w:rPr>
        <w:t xml:space="preserve">8.5 Exposure Determination</w:t>
      </w:r>
    </w:p>
    <w:p>
      <w:pPr>
        <w:spacing w:after="120" w:before="0" w:line="264"/>
      </w:pPr>
      <w:r>
        <w:rPr>
          <w:rFonts w:ascii="Calibri" w:cs="Calibri" w:eastAsia="Calibri" w:hAnsi="Calibri"/>
          <w:b w:val="false"/>
          <w:bCs w:val="false"/>
          <w:i w:val="false"/>
          <w:iCs w:val="false"/>
          <w:color w:val="1A1A1A"/>
          <w:sz w:val="22"/>
          <w:szCs w:val="22"/>
        </w:rPr>
        <w:t xml:space="preserve">No bulk data exposure is confirmed by direct evidence. The eM Client OAuth grant made mailbox contents reachable programmatically, so exposure is treated as “possible but not evidenced.” Revocation of the grant closed this path.</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9. Root Cause Analysis</w:t>
      </w:r>
    </w:p>
    <w:p>
      <w:pPr>
        <w:pStyle w:val="Heading2"/>
        <w:keepNext/>
        <w:spacing w:after="80" w:before="180"/>
      </w:pPr>
      <w:r>
        <w:rPr>
          <w:rFonts w:ascii="Calibri" w:cs="Calibri" w:eastAsia="Calibri" w:hAnsi="Calibri"/>
          <w:b/>
          <w:bCs/>
          <w:color w:val="2F5496"/>
          <w:sz w:val="24"/>
          <w:szCs w:val="24"/>
        </w:rPr>
        <w:t xml:space="preserve">9.1 Primary Root Cause</w:t>
      </w:r>
    </w:p>
    <w:p>
      <w:pPr>
        <w:spacing w:after="120" w:before="0" w:line="264"/>
      </w:pPr>
      <w:r>
        <w:rPr>
          <w:rFonts w:ascii="Calibri" w:cs="Calibri" w:eastAsia="Calibri" w:hAnsi="Calibri"/>
          <w:b w:val="false"/>
          <w:bCs w:val="false"/>
          <w:i w:val="false"/>
          <w:iCs w:val="false"/>
          <w:color w:val="1A1A1A"/>
          <w:sz w:val="22"/>
          <w:szCs w:val="22"/>
        </w:rPr>
        <w:t xml:space="preserve">The primary root cause was the absence of multi-factor authentication on the account, compounded by unrestricted end-user OAuth application consent, which allowed the threat actor to both sign in with a single credential and establish a durable, browserless access path via an illicit consent grant.</w:t>
      </w:r>
    </w:p>
    <w:p>
      <w:pPr>
        <w:pStyle w:val="Heading2"/>
        <w:keepNext/>
        <w:spacing w:after="80" w:before="180"/>
      </w:pPr>
      <w:r>
        <w:rPr>
          <w:rFonts w:ascii="Calibri" w:cs="Calibri" w:eastAsia="Calibri" w:hAnsi="Calibri"/>
          <w:b/>
          <w:bCs/>
          <w:color w:val="2F5496"/>
          <w:sz w:val="24"/>
          <w:szCs w:val="24"/>
        </w:rPr>
        <w:t xml:space="preserve">9.2 Contributing Factors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MFA disabled or weak across most of the tenant, including privileged accounts.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End-user OAuth consent not restricted to verified publishers or admin approval.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Conditional Access to challenge dispersed or proxied sign-ins.</w:t>
      </w:r>
    </w:p>
    <w:p>
      <w:pPr>
        <w:pStyle w:val="Heading2"/>
        <w:keepNext/>
        <w:spacing w:after="80" w:before="180"/>
      </w:pPr>
      <w:r>
        <w:rPr>
          <w:rFonts w:ascii="Calibri" w:cs="Calibri" w:eastAsia="Calibri" w:hAnsi="Calibri"/>
          <w:b/>
          <w:bCs/>
          <w:color w:val="2F5496"/>
          <w:sz w:val="24"/>
          <w:szCs w:val="24"/>
        </w:rPr>
        <w:t xml:space="preserve">9.3 Detection Gaps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tier-one alert fired on the new OAuth consent grant.</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No alert on creation of an inbox rule that deletes or moves inbound mail.</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10. Containment, Eradication, and Recovery</w:t>
      </w:r>
    </w:p>
    <w:p>
      <w:pPr>
        <w:pStyle w:val="Heading2"/>
        <w:keepNext/>
        <w:spacing w:after="80" w:before="180"/>
      </w:pPr>
      <w:r>
        <w:rPr>
          <w:rFonts w:ascii="Calibri" w:cs="Calibri" w:eastAsia="Calibri" w:hAnsi="Calibri"/>
          <w:b/>
          <w:bCs/>
          <w:color w:val="2F5496"/>
          <w:sz w:val="24"/>
          <w:szCs w:val="24"/>
        </w:rPr>
        <w:t xml:space="preserve">10.1 Containment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Disabled the account; revoked active sessions and refresh tokens</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Reset password; temporary password provided to the user by phone</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bl>
    <w:p>
      <w:pPr>
        <w:pStyle w:val="Heading2"/>
        <w:keepNext/>
        <w:spacing w:after="80" w:before="180"/>
      </w:pPr>
      <w:r>
        <w:rPr>
          <w:rFonts w:ascii="Calibri" w:cs="Calibri" w:eastAsia="Calibri" w:hAnsi="Calibri"/>
          <w:b/>
          <w:bCs/>
          <w:color w:val="2F5496"/>
          <w:sz w:val="24"/>
          <w:szCs w:val="24"/>
        </w:rPr>
        <w:t xml:space="preserve">10.2 Eradication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Removed inbox rule “.” (move to Deleted Items)</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Inbox Rule Change Log</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Removed eM Client OAuth consent grant</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Enterprise Applications</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Removed both registered authentication methods; required clean re-registration</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bl>
    <w:p>
      <w:pPr>
        <w:pStyle w:val="Heading2"/>
        <w:keepNext/>
        <w:spacing w:after="80" w:before="180"/>
      </w:pPr>
      <w:r>
        <w:rPr>
          <w:rFonts w:ascii="Calibri" w:cs="Calibri" w:eastAsia="Calibri" w:hAnsi="Calibri"/>
          <w:b/>
          <w:bCs/>
          <w:color w:val="2F5496"/>
          <w:sz w:val="24"/>
          <w:szCs w:val="24"/>
        </w:rPr>
        <w:t xml:space="preserve">10.3 Recovery Actions</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900"/>
        <w:gridCol w:w="3680"/>
      </w:tblGrid>
      <w:tr>
        <w:trPr>
          <w:tblHeader/>
        </w:trPr>
        <w:tc>
          <w:tcPr>
            <w:tcW w:type="dxa" w:w="21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Timestamp (UTC)</w:t>
            </w:r>
          </w:p>
        </w:tc>
        <w:tc>
          <w:tcPr>
            <w:tcW w:type="dxa" w:w="39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Action</w:t>
            </w:r>
          </w:p>
        </w:tc>
        <w:tc>
          <w:tcPr>
            <w:tcW w:type="dxa" w:w="36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Result / Evidence</w:t>
            </w:r>
          </w:p>
        </w:tc>
      </w:tr>
      <w:tr>
        <w:tc>
          <w:tcPr>
            <w:tcW w:type="dxa" w:w="21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39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Restored account access after re-securing; user re-registered auth methods</w:t>
            </w:r>
          </w:p>
        </w:tc>
        <w:tc>
          <w:tcPr>
            <w:tcW w:type="dxa" w:w="36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Entra ID audit</w:t>
            </w:r>
          </w:p>
        </w:tc>
      </w:tr>
      <w:tr>
        <w:tc>
          <w:tcPr>
            <w:tcW w:type="dxa" w:w="21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2025-11-30</w:t>
            </w:r>
          </w:p>
        </w:tc>
        <w:tc>
          <w:tcPr>
            <w:tcW w:type="dxa" w:w="39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Confirmed via outbound tracing that no blast or bulk send occurred</w:t>
            </w:r>
          </w:p>
        </w:tc>
        <w:tc>
          <w:tcPr>
            <w:tcW w:type="dxa" w:w="36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Message Trace</w:t>
            </w:r>
          </w:p>
        </w:tc>
      </w:tr>
    </w:tbl>
    <w:p>
      <w:pPr>
        <w:pStyle w:val="Heading2"/>
        <w:keepNext/>
        <w:spacing w:after="80" w:before="180"/>
      </w:pPr>
      <w:r>
        <w:rPr>
          <w:rFonts w:ascii="Calibri" w:cs="Calibri" w:eastAsia="Calibri" w:hAnsi="Calibri"/>
          <w:b/>
          <w:bCs/>
          <w:color w:val="2F5496"/>
          <w:sz w:val="24"/>
          <w:szCs w:val="24"/>
        </w:rPr>
        <w:t xml:space="preserve">10.4 Post-Remediation Verification</w:t>
      </w:r>
    </w:p>
    <w:p>
      <w:pPr>
        <w:spacing w:after="120" w:before="0" w:line="264"/>
      </w:pPr>
      <w:r>
        <w:rPr>
          <w:rFonts w:ascii="Calibri" w:cs="Calibri" w:eastAsia="Calibri" w:hAnsi="Calibri"/>
          <w:b w:val="false"/>
          <w:bCs w:val="false"/>
          <w:i w:val="false"/>
          <w:iCs w:val="false"/>
          <w:color w:val="1A1A1A"/>
          <w:sz w:val="22"/>
          <w:szCs w:val="22"/>
        </w:rPr>
        <w:t xml:space="preserve">A post-remediation review confirmed removal of the inbox rule and the OAuth grant, reset of authentication methods, and the absence of any outbound blast. No additional persistence was identified on the mailbox.</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11. Recommendations</w:t>
      </w:r>
    </w:p>
    <w:p>
      <w:pPr>
        <w:pStyle w:val="Heading2"/>
        <w:keepNext/>
        <w:spacing w:after="80" w:before="180"/>
      </w:pPr>
      <w:r>
        <w:rPr>
          <w:rFonts w:ascii="Calibri" w:cs="Calibri" w:eastAsia="Calibri" w:hAnsi="Calibri"/>
          <w:b/>
          <w:bCs/>
          <w:color w:val="2F5496"/>
          <w:sz w:val="24"/>
          <w:szCs w:val="24"/>
        </w:rPr>
        <w:t xml:space="preserve">11.1 Immediate (within 7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Confirm the eM Client grant and inbox rule remain removed and that authentication methods were cleanly re-registered.</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Prioritize MFA on all administrator accounts given the tenant-wide weak-MFA finding.</w:t>
      </w:r>
    </w:p>
    <w:p>
      <w:pPr>
        <w:pStyle w:val="Heading2"/>
        <w:keepNext/>
        <w:spacing w:after="80" w:before="180"/>
      </w:pPr>
      <w:r>
        <w:rPr>
          <w:rFonts w:ascii="Calibri" w:cs="Calibri" w:eastAsia="Calibri" w:hAnsi="Calibri"/>
          <w:b/>
          <w:bCs/>
          <w:color w:val="2F5496"/>
          <w:sz w:val="24"/>
          <w:szCs w:val="24"/>
        </w:rPr>
        <w:t xml:space="preserve">11.2 Short-Term (within 30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Enforce MFA for all users; restrict end-user OAuth consent and require admin approval for new grants.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Deploy Conditional Access to block legacy authentication and challenge unexpected-location sign-ins.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Alert on new OAuth consent grants and on inbox rules that delete or move mail.</w:t>
      </w:r>
    </w:p>
    <w:p>
      <w:pPr>
        <w:pStyle w:val="Heading2"/>
        <w:keepNext/>
        <w:spacing w:after="80" w:before="180"/>
      </w:pPr>
      <w:r>
        <w:rPr>
          <w:rFonts w:ascii="Calibri" w:cs="Calibri" w:eastAsia="Calibri" w:hAnsi="Calibri"/>
          <w:b/>
          <w:bCs/>
          <w:color w:val="2F5496"/>
          <w:sz w:val="24"/>
          <w:szCs w:val="24"/>
        </w:rPr>
        <w:t xml:space="preserve">11.3 Medium-Term (within 90 days)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Adopt phishing-resistant MFA for privileged and finance users.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Review existing enterprise-application grants tenant-wide and remove unused or unverified apps.</w:t>
      </w:r>
    </w:p>
    <w:p>
      <w:pPr>
        <w:pStyle w:val="Heading2"/>
        <w:keepNext/>
        <w:spacing w:after="80" w:before="180"/>
      </w:pPr>
      <w:r>
        <w:rPr>
          <w:rFonts w:ascii="Calibri" w:cs="Calibri" w:eastAsia="Calibri" w:hAnsi="Calibri"/>
          <w:b/>
          <w:bCs/>
          <w:color w:val="2F5496"/>
          <w:sz w:val="24"/>
          <w:szCs w:val="24"/>
        </w:rPr>
        <w:t xml:space="preserve">11.4 Strategic (longer-term posture)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Establish a recurring review of OAuth grants and Conditional Access posture.</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Provide phishing-recognition training and reinforce prompt reporting of unexpected sign-in prompts.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12. Lessons Learned</w:t>
      </w:r>
    </w:p>
    <w:p>
      <w:pPr>
        <w:pStyle w:val="Heading2"/>
        <w:keepNext/>
        <w:spacing w:after="80" w:before="180"/>
      </w:pPr>
      <w:r>
        <w:rPr>
          <w:rFonts w:ascii="Calibri" w:cs="Calibri" w:eastAsia="Calibri" w:hAnsi="Calibri"/>
          <w:b/>
          <w:bCs/>
          <w:color w:val="2F5496"/>
          <w:sz w:val="24"/>
          <w:szCs w:val="24"/>
        </w:rPr>
        <w:t xml:space="preserve">12.1 What Worked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dual persistence (rule plus OAuth grant) was fully identified and removed, and authentication methods were reset to force clean re-registration.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Outbound tracing confirmed the absence of a blast, bounding impact confidently.</w:t>
      </w:r>
    </w:p>
    <w:p>
      <w:pPr>
        <w:pStyle w:val="Heading2"/>
        <w:keepNext/>
        <w:spacing w:after="80" w:before="180"/>
      </w:pPr>
      <w:r>
        <w:rPr>
          <w:rFonts w:ascii="Calibri" w:cs="Calibri" w:eastAsia="Calibri" w:hAnsi="Calibri"/>
          <w:b/>
          <w:bCs/>
          <w:color w:val="2F5496"/>
          <w:sz w:val="24"/>
          <w:szCs w:val="24"/>
        </w:rPr>
        <w:t xml:space="preserve">12.2 What Did Not Work Well</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tenant’s weak MFA posture, including for admins, left broad exposure beyond this single mailbox.</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The OAuth consent grant did not trigger any tier-one alert.</w:t>
      </w:r>
    </w:p>
    <w:p>
      <w:pPr>
        <w:pStyle w:val="Heading2"/>
        <w:keepNext/>
        <w:spacing w:after="80" w:before="180"/>
      </w:pPr>
      <w:r>
        <w:rPr>
          <w:rFonts w:ascii="Calibri" w:cs="Calibri" w:eastAsia="Calibri" w:hAnsi="Calibri"/>
          <w:b/>
          <w:bCs/>
          <w:color w:val="2F5496"/>
          <w:sz w:val="24"/>
          <w:szCs w:val="24"/>
        </w:rPr>
        <w:t xml:space="preserve">12.3 Process Improvements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Restrict OAuth consent and add alerting for new grants and mail-deleting rules.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Drive tenant-wide MFA enforcement as the highest-leverage fix.</w:t>
      </w:r>
    </w:p>
    <w:p>
      <w:pPr>
        <w:spacing w:after="120" w:before="60" w:line="264"/>
      </w:pPr>
      <w:r>
        <w:rPr>
          <w:rFonts w:ascii="Calibri" w:cs="Calibri" w:eastAsia="Calibri" w:hAnsi="Calibri"/>
          <w:b w:val="false"/>
          <w:bCs w:val="false"/>
          <w:i/>
          <w:iCs/>
          <w:color w:val="666666"/>
          <w:sz w:val="20"/>
          <w:szCs w:val="20"/>
        </w:rPr>
        <w:t xml:space="preserve">A deeper internal review of the response is captured in the separate internal post-mortem; this section is the client-facing summary.</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13. Appendices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A: Full sign-in events from threat-actor IP addresses.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B: MailItemsAccessed / Unified Audit Log export for affected users.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C: Screenshots of malicious inbox rules. [Screenshot: inbox rule configuration]</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D: Full IOC list in machine-readable format (CSV).</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E: Raw script outputs relevant to key findings.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F: User interview notes.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Appendix G: Copies of communications with affected third parties.</w:t>
      </w:r>
    </w:p>
    <w:p>
      <w:pPr>
        <w:pStyle w:val="Heading1"/>
        <w:keepNext/>
        <w:pBdr>
          <w:bottom w:val="single" w:color="2F5496" w:sz="6" w:space="3"/>
        </w:pBdr>
        <w:spacing w:after="100" w:before="260"/>
      </w:pPr>
      <w:r>
        <w:rPr>
          <w:rFonts w:ascii="Calibri" w:cs="Calibri" w:eastAsia="Calibri" w:hAnsi="Calibri"/>
          <w:b/>
          <w:bCs/>
          <w:color w:val="2F5496"/>
          <w:sz w:val="28"/>
          <w:szCs w:val="28"/>
        </w:rPr>
        <w:t xml:space="preserve">Report Control</w:t>
      </w:r>
    </w:p>
    <w:p>
      <w:pPr>
        <w:pStyle w:val="Heading2"/>
        <w:keepNext/>
        <w:spacing w:after="80" w:before="180"/>
      </w:pPr>
      <w:r>
        <w:rPr>
          <w:rFonts w:ascii="Calibri" w:cs="Calibri" w:eastAsia="Calibri" w:hAnsi="Calibri"/>
          <w:b/>
          <w:bCs/>
          <w:color w:val="2F5496"/>
          <w:sz w:val="24"/>
          <w:szCs w:val="24"/>
        </w:rPr>
        <w:t xml:space="preserve">Revision History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2200"/>
        <w:gridCol w:w="2600"/>
        <w:gridCol w:w="3480"/>
      </w:tblGrid>
      <w:tr>
        <w:trPr>
          <w:tblHeader/>
        </w:trPr>
        <w:tc>
          <w:tcPr>
            <w:tcW w:type="dxa" w:w="14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Version</w:t>
            </w:r>
          </w:p>
        </w:tc>
        <w:tc>
          <w:tcPr>
            <w:tcW w:type="dxa" w:w="2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6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Author</w:t>
            </w:r>
          </w:p>
        </w:tc>
        <w:tc>
          <w:tcPr>
            <w:tcW w:type="dxa" w:w="3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Change Summary</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0.1</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Initial draft from investigation findings.</w:t>
            </w:r>
          </w:p>
        </w:tc>
      </w:tr>
      <w:tr>
        <w:tc>
          <w:tcPr>
            <w:tcW w:type="dxa" w:w="14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0.2</w:t>
            </w:r>
          </w:p>
        </w:tc>
        <w:tc>
          <w:tcPr>
            <w:tcW w:type="dxa" w:w="2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w:t>
            </w:r>
          </w:p>
        </w:tc>
        <w:tc>
          <w:tcPr>
            <w:tcW w:type="dxa" w:w="26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w:t>
            </w:r>
          </w:p>
        </w:tc>
        <w:tc>
          <w:tcPr>
            <w:tcW w:type="dxa" w:w="3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 review revisions.</w:t>
            </w:r>
          </w:p>
        </w:tc>
      </w:tr>
      <w:tr>
        <w:tc>
          <w:tcPr>
            <w:tcW w:type="dxa" w:w="14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1.0</w:t>
            </w:r>
          </w:p>
        </w:tc>
        <w:tc>
          <w:tcPr>
            <w:tcW w:type="dxa" w:w="2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w:t>
            </w:r>
          </w:p>
        </w:tc>
        <w:tc>
          <w:tcPr>
            <w:tcW w:type="dxa" w:w="26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w:t>
            </w:r>
          </w:p>
        </w:tc>
        <w:tc>
          <w:tcPr>
            <w:tcW w:type="dxa" w:w="3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Final, delivered to client.</w:t>
            </w:r>
          </w:p>
        </w:tc>
      </w:tr>
    </w:tbl>
    <w:p>
      <w:pPr>
        <w:pStyle w:val="Heading2"/>
        <w:keepNext/>
        <w:spacing w:after="80" w:before="180"/>
      </w:pPr>
      <w:r>
        <w:rPr>
          <w:rFonts w:ascii="Calibri" w:cs="Calibri" w:eastAsia="Calibri" w:hAnsi="Calibri"/>
          <w:b/>
          <w:bCs/>
          <w:color w:val="2F5496"/>
          <w:sz w:val="24"/>
          <w:szCs w:val="24"/>
        </w:rPr>
        <w:t xml:space="preserve">Approval and Delivery</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000"/>
        <w:gridCol w:w="3200"/>
        <w:gridCol w:w="2000"/>
        <w:gridCol w:w="2480"/>
      </w:tblGrid>
      <w:tr>
        <w:trPr>
          <w:tblHeader/>
        </w:trPr>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Role</w:t>
            </w:r>
          </w:p>
        </w:tc>
        <w:tc>
          <w:tcPr>
            <w:tcW w:type="dxa" w:w="32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Name / Title</w:t>
            </w:r>
          </w:p>
        </w:tc>
        <w:tc>
          <w:tcPr>
            <w:tcW w:type="dxa" w:w="200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Date</w:t>
            </w:r>
          </w:p>
        </w:tc>
        <w:tc>
          <w:tcPr>
            <w:tcW w:type="dxa" w:w="2480"/>
            <w:shd w:fill="2F5496" w:color="auto" w:val="clear"/>
            <w:tcMar>
              <w:top w:type="dxa" w:w="40"/>
              <w:left w:type="dxa" w:w="90"/>
              <w:bottom w:type="dxa" w:w="40"/>
              <w:right w:type="dxa" w:w="90"/>
            </w:tcMar>
            <w:vAlign w:val="center"/>
          </w:tcPr>
          <w:p>
            <w:pPr>
              <w:spacing w:after="0" w:line="240"/>
            </w:pPr>
            <w:r>
              <w:rPr>
                <w:rFonts w:ascii="Calibri" w:cs="Calibri" w:eastAsia="Calibri" w:hAnsi="Calibri"/>
                <w:b/>
                <w:bCs/>
                <w:i w:val="false"/>
                <w:iCs w:val="false"/>
                <w:color w:val="FFFFFF"/>
                <w:sz w:val="20"/>
                <w:szCs w:val="20"/>
              </w:rPr>
              <w:t xml:space="preserve">Method</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Prepared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[Investigator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N/A</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Reviewed By</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[Reviewer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Approved By</w:t>
            </w:r>
          </w:p>
        </w:tc>
        <w:tc>
          <w:tcPr>
            <w:tcW w:type="dxa" w:w="32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[Approver Name, Title]</w:t>
            </w:r>
          </w:p>
        </w:tc>
        <w:tc>
          <w:tcPr>
            <w:tcW w:type="dxa" w:w="200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w:t>
            </w:r>
          </w:p>
        </w:tc>
        <w:tc>
          <w:tcPr>
            <w:tcW w:type="dxa" w:w="2480"/>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Internal</w:t>
            </w:r>
          </w:p>
        </w:tc>
      </w:tr>
      <w:tr>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Delivered To</w:t>
            </w:r>
          </w:p>
        </w:tc>
        <w:tc>
          <w:tcPr>
            <w:tcW w:type="dxa" w:w="32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[Recipient Name, Title]</w:t>
            </w:r>
          </w:p>
        </w:tc>
        <w:tc>
          <w:tcPr>
            <w:tcW w:type="dxa" w:w="200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November 30, 2025</w:t>
            </w:r>
          </w:p>
        </w:tc>
        <w:tc>
          <w:tcPr>
            <w:tcW w:type="dxa" w:w="2480"/>
            <w:shd w:fill="F2F5FA" w:color="auto" w:val="clear"/>
            <w:tcMar>
              <w:top w:type="dxa" w:w="40"/>
              <w:left w:type="dxa" w:w="90"/>
              <w:bottom w:type="dxa" w:w="40"/>
              <w:right w:type="dxa" w:w="90"/>
            </w:tcMar>
            <w:vAlign w:val="center"/>
          </w:tcPr>
          <w:p>
            <w:pPr>
              <w:spacing w:after="0" w:line="240"/>
            </w:pPr>
            <w:r>
              <w:rPr>
                <w:rFonts w:ascii="Calibri" w:cs="Calibri" w:eastAsia="Calibri" w:hAnsi="Calibri"/>
                <w:b w:val="false"/>
                <w:bCs w:val="false"/>
                <w:i w:val="false"/>
                <w:iCs w:val="false"/>
                <w:color w:val="1A1A1A"/>
                <w:sz w:val="20"/>
                <w:szCs w:val="20"/>
              </w:rPr>
              <w:t xml:space="preserve">[Secure delivery]</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Proseware Mechanical · IR-PRW-20251130</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Proseware Mechanical Investigation Report</dc:title>
  <dc:creator>[Your Organization]</dc:creator>
  <cp:lastModifiedBy>Un-named</cp:lastModifiedBy>
  <cp:revision>1</cp:revision>
  <dcterms:created xsi:type="dcterms:W3CDTF">2026-07-31T07:35:16.778Z</dcterms:created>
  <dcterms:modified xsi:type="dcterms:W3CDTF">2026-07-31T07:35:16.779Z</dcterms:modified>
</cp:coreProperties>
</file>

<file path=docProps/custom.xml><?xml version="1.0" encoding="utf-8"?>
<Properties xmlns="http://schemas.openxmlformats.org/officeDocument/2006/custom-properties" xmlns:vt="http://schemas.openxmlformats.org/officeDocument/2006/docPropsVTypes"/>
</file>