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DECEA" w:color="auto" w:val="clear"/>
        <w:spacing w:after="120"/>
      </w:pPr>
      <w:r>
        <w:rPr>
          <w:rFonts w:ascii="Calibri" w:cs="Calibri" w:eastAsia="Calibri" w:hAnsi="Calibri"/>
          <w:b/>
          <w:bCs/>
          <w:color w:val="9C2A2A"/>
          <w:sz w:val="20"/>
          <w:szCs w:val="20"/>
        </w:rPr>
        <w:t xml:space="preserve">INTERNAL USE ONLY: Not for client or external distribution</w:t>
      </w:r>
    </w:p>
    <w:p>
      <w:pPr>
        <w:spacing w:after="120"/>
      </w:pPr>
      <w:r>
        <w:rPr>
          <w:rFonts w:ascii="Calibri" w:cs="Calibri" w:eastAsia="Calibri" w:hAnsi="Calibri"/>
          <w:b/>
          <w:bCs/>
          <w:color w:val="2F5496"/>
          <w:sz w:val="40"/>
          <w:szCs w:val="40"/>
        </w:rPr>
        <w:t xml:space="preserve">Incident Response Post-Mortem</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6680"/>
      </w:tblGrid>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IR-PRW-20251130</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Proseware Mechanical (redact for wide distribution)</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Date Range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 (single-day incident)</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Detection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 (malicious inbox rule discovered)</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Post-Mortem Date</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Facilitator</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 Name]</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Attendees</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 names / roles]</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[team/department]</w:t>
            </w:r>
          </w:p>
        </w:tc>
      </w:tr>
      <w:tr>
        <w:tc>
          <w:tcPr>
            <w:tcW w:type="dxa" w:w="34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USE ONLY: Not for client or external distribution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Incident Summary</w:t>
      </w:r>
    </w:p>
    <w:p>
      <w:pPr>
        <w:spacing w:after="120" w:before="0" w:line="264"/>
      </w:pPr>
      <w:r>
        <w:rPr>
          <w:rFonts w:ascii="Calibri" w:cs="Calibri" w:eastAsia="Calibri" w:hAnsi="Calibri"/>
          <w:b w:val="false"/>
          <w:bCs w:val="false"/>
          <w:i w:val="false"/>
          <w:iCs w:val="false"/>
          <w:color w:val="1A1A1A"/>
          <w:sz w:val="22"/>
          <w:szCs w:val="22"/>
        </w:rPr>
        <w:t xml:space="preserve">A no-MFA Proseware mailbox was compromised on November 30, 2025, with persistence via an inbox rule (to Deleted Items) and an eM Client OAuth consent grant. We disabled the account, removed both persistence mechanisms, reset auth methods, and confirmed no outbound blast. The bigger finding is tenant-wide weak MFA. Full findings are in the investigation report (Ref IR-PRW-20251130).</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Response Timeline</w:t>
      </w:r>
    </w:p>
    <w:p>
      <w:pPr>
        <w:spacing w:after="120" w:before="0" w:line="264"/>
      </w:pPr>
      <w:r>
        <w:rPr>
          <w:rFonts w:ascii="Calibri" w:cs="Calibri" w:eastAsia="Calibri" w:hAnsi="Calibri"/>
          <w:b w:val="false"/>
          <w:bCs w:val="false"/>
          <w:i/>
          <w:iCs/>
          <w:color w:val="666666"/>
          <w:sz w:val="20"/>
          <w:szCs w:val="20"/>
        </w:rPr>
        <w:t xml:space="preserve">Our actions and information received (not the attacker's timeline). Times in UTC.</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600"/>
        <w:gridCol w:w="3600"/>
        <w:gridCol w:w="253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Who</w:t>
            </w:r>
          </w:p>
        </w:tc>
        <w:tc>
          <w:tcPr>
            <w:tcW w:type="dxa" w:w="3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53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 Responder</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Malicious inbox rule discovered on mark@proseware.com</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Trigger</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Disabled account; revoked sessions; reset password (phone)</w:t>
            </w:r>
          </w:p>
        </w:tc>
        <w:tc>
          <w:tcPr>
            <w:tcW w:type="dxa" w:w="253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Containment</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inbox rule and eM Client OAuth grant</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Eradication</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Reset registered auth methods; confirmed clean re-registration</w:t>
            </w:r>
          </w:p>
        </w:tc>
        <w:tc>
          <w:tcPr>
            <w:tcW w:type="dxa" w:w="253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3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outbound tracing (no blast); delivered report</w:t>
            </w:r>
          </w:p>
        </w:tc>
        <w:tc>
          <w:tcPr>
            <w:tcW w:type="dxa" w:w="253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What Went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We caught both persistence paths, not just the obvious inbox rule; the OAuth grant is easy to miss.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Resetting authentication methods forced clean re-registration, closing a common re-entry path.</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Outbound tracing let us bound impact and reassure the client no blast occurred.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What Did Not Go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account had no MFA, and the tenant-wide MFA posture is weak, including admins.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OAuth consent grant fired no alert; we found it by manual review.</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We could not fully quantify whether the eM Client grant was used to pull data.</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Where We Got Lucky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actor chose a mail-suppression rule and an OAuth grant rather than an immediate wire-fraud thread; the same access could have driven direct fraud.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malicious rule happened to be noticed; nothing automated would have surfaced it.</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Root Causes of Response Gaps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4680"/>
        <w:gridCol w:w="200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Surface Problem</w:t>
            </w:r>
          </w:p>
        </w:tc>
        <w:tc>
          <w:tcPr>
            <w:tcW w:type="dxa" w:w="4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Underlying Cause (5-Whys)</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Single-credential access</w:t>
            </w:r>
          </w:p>
        </w:tc>
        <w:tc>
          <w:tcPr>
            <w:tcW w:type="dxa" w:w="4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MFA on account (and weak tenant-wide)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Environment</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Durable browserless access</w:t>
            </w:r>
          </w:p>
        </w:tc>
        <w:tc>
          <w:tcPr>
            <w:tcW w:type="dxa" w:w="4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Unrestricted end-user OAuth consent</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Environment</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Persistence unnoticed</w:t>
            </w:r>
          </w:p>
        </w:tc>
        <w:tc>
          <w:tcPr>
            <w:tcW w:type="dxa" w:w="4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alerting on OAuth grants or mail-deleting rules</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Tooling</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Action Items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180"/>
        <w:gridCol w:w="1400"/>
        <w:gridCol w:w="1400"/>
        <w:gridCol w:w="1200"/>
        <w:gridCol w:w="1000"/>
      </w:tblGrid>
      <w:tr>
        <w:trPr>
          <w:tblHeader/>
        </w:trPr>
        <w:tc>
          <w:tcPr>
            <w:tcW w:type="dxa" w:w="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t>
            </w:r>
          </w:p>
        </w:tc>
        <w:tc>
          <w:tcPr>
            <w:tcW w:type="dxa" w:w="41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Owner</w:t>
            </w:r>
          </w:p>
        </w:tc>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Due</w:t>
            </w:r>
          </w:p>
        </w:tc>
        <w:tc>
          <w:tcPr>
            <w:tcW w:type="dxa" w:w="1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Priority</w:t>
            </w:r>
          </w:p>
        </w:tc>
        <w:tc>
          <w:tcPr>
            <w:tcW w:type="dxa" w:w="1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Status</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Enforce MFA tenant-wide, admins first; verify coverage report</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[+14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w:t>
            </w:r>
          </w:p>
        </w:tc>
        <w:tc>
          <w:tcPr>
            <w:tcW w:type="dxa" w:w="41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Restrict OAuth consent to admin approval / verified publishers</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days]</w:t>
            </w:r>
          </w:p>
        </w:tc>
        <w:tc>
          <w:tcPr>
            <w:tcW w:type="dxa" w:w="1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w:t>
            </w:r>
          </w:p>
        </w:tc>
        <w:tc>
          <w:tcPr>
            <w:tcW w:type="dxa" w:w="41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Add alerts: new OAuth grants; inbox rules that delete/move mail</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[+21 days]</w:t>
            </w:r>
          </w:p>
        </w:tc>
        <w:tc>
          <w:tcPr>
            <w:tcW w:type="dxa" w:w="1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High</w:t>
            </w:r>
          </w:p>
        </w:tc>
        <w:tc>
          <w:tcPr>
            <w:tcW w:type="dxa" w:w="1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r>
        <w:tc>
          <w:tcPr>
            <w:tcW w:type="dxa" w:w="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4</w:t>
            </w:r>
          </w:p>
        </w:tc>
        <w:tc>
          <w:tcPr>
            <w:tcW w:type="dxa" w:w="41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Tenant-wide review and cleanup of enterprise-application grants</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[+30 days]</w:t>
            </w:r>
          </w:p>
        </w:tc>
        <w:tc>
          <w:tcPr>
            <w:tcW w:type="dxa" w:w="1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Medium</w:t>
            </w:r>
          </w:p>
        </w:tc>
        <w:tc>
          <w:tcPr>
            <w:tcW w:type="dxa" w:w="1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Open</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Tooling and Playbook Changes</w:t>
      </w:r>
    </w:p>
    <w:p>
      <w:pPr>
        <w:pStyle w:val="Heading2"/>
        <w:keepNext/>
        <w:spacing w:after="80" w:before="180"/>
      </w:pPr>
      <w:r>
        <w:rPr>
          <w:rFonts w:ascii="Calibri" w:cs="Calibri" w:eastAsia="Calibri" w:hAnsi="Calibri"/>
          <w:b/>
          <w:bCs/>
          <w:color w:val="2F5496"/>
          <w:sz w:val="24"/>
          <w:szCs w:val="24"/>
        </w:rPr>
        <w:t xml:space="preserve">8.1 Scripts and Tools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Add enterprise-application/OAuth consent enumeration to standard BEC persistence checks.</w:t>
      </w:r>
    </w:p>
    <w:p>
      <w:pPr>
        <w:pStyle w:val="Heading2"/>
        <w:keepNext/>
        <w:spacing w:after="80" w:before="180"/>
      </w:pPr>
      <w:r>
        <w:rPr>
          <w:rFonts w:ascii="Calibri" w:cs="Calibri" w:eastAsia="Calibri" w:hAnsi="Calibri"/>
          <w:b/>
          <w:bCs/>
          <w:color w:val="2F5496"/>
          <w:sz w:val="24"/>
          <w:szCs w:val="24"/>
        </w:rPr>
        <w:t xml:space="preserve">8.2 Playbook and Runbook Updates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Persistence checklist must include OAuth grants, not just rules and forwarding.</w:t>
      </w:r>
    </w:p>
    <w:p>
      <w:pPr>
        <w:pStyle w:val="Heading2"/>
        <w:keepNext/>
        <w:spacing w:after="80" w:before="180"/>
      </w:pPr>
      <w:r>
        <w:rPr>
          <w:rFonts w:ascii="Calibri" w:cs="Calibri" w:eastAsia="Calibri" w:hAnsi="Calibri"/>
          <w:b/>
          <w:bCs/>
          <w:color w:val="2F5496"/>
          <w:sz w:val="24"/>
          <w:szCs w:val="24"/>
        </w:rPr>
        <w:t xml:space="preserve">8.3 Detection and Alerting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Alert on new OAuth consent grants.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Alert on inbox rules that delete or move inbound mail.</w:t>
      </w:r>
    </w:p>
    <w:p>
      <w:pPr>
        <w:pStyle w:val="Heading2"/>
        <w:keepNext/>
        <w:spacing w:after="80" w:before="180"/>
      </w:pPr>
      <w:r>
        <w:rPr>
          <w:rFonts w:ascii="Calibri" w:cs="Calibri" w:eastAsia="Calibri" w:hAnsi="Calibri"/>
          <w:b/>
          <w:bCs/>
          <w:color w:val="2F5496"/>
          <w:sz w:val="24"/>
          <w:szCs w:val="24"/>
        </w:rPr>
        <w:t xml:space="preserve">8.4 Documentation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KB: revoking OAuth grants and resetting auth methods safely, owner [Owner].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Training and Knowledge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Brief the team on illicit-consent persistence and how to enumerate and revoke grants.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Client Relationship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 has weak MFA including admins; this is the dominant risk and should anchor the follow-up conversation.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User reachable by phone for temporary password handoff; note contact method for future engagements.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Response Metrics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Dwell time (compromise to detection)</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Same day (telemetry-bounded)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Detection to containment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Same day</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Accounts affected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Persistence artifacts found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 (inbox rule + OAuth grant)</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Mailboxes accessed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financial loss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Outbound blast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Open Questions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Was the eM Client grant used to retrieve mailbox data via API? Interactive logs cannot fully answer this.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How was the initial credential obtained? No MFA meant no bypass artifact.</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Follow-Up Schedule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1900"/>
        <w:gridCol w:w="1900"/>
        <w:gridCol w:w="4080"/>
      </w:tblGrid>
      <w:tr>
        <w:trPr>
          <w:tblHeader/>
        </w:trPr>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Checkpoint</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Owner</w:t>
            </w:r>
          </w:p>
        </w:tc>
        <w:tc>
          <w:tcPr>
            <w:tcW w:type="dxa" w:w="4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What to Review</w:t>
            </w:r>
          </w:p>
        </w:tc>
      </w:tr>
      <w:tr>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30 days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 MFA enforcement and OAuth consent restriction are live</w:t>
            </w:r>
          </w:p>
        </w:tc>
      </w:tr>
      <w:tr>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60 days</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 enterprise-application cleanup progress</w:t>
            </w:r>
          </w:p>
        </w:tc>
      </w:tr>
      <w:tr>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90 days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[date]</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[Owner]</w:t>
            </w:r>
          </w:p>
        </w:tc>
        <w:tc>
          <w:tcPr>
            <w:tcW w:type="dxa" w:w="4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Verify no recurrence; review Conditional Access posture</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14. References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Investigation Report, Proseware Mechanical, v1.0, November 30, 2025 (Ref IR-PRW-20251130).</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Attestation Letter (if issued), November 30, 2025.</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Ticket / Case: IR-PRW-20251130.</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post-mortem meeting.</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[within two weeks of closure]</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[Facilitator]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action items tracked separately.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INTERNAL USE ONLY · IR-PRW-20251130</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Proseware Mechanical Post-Mortem</dc:title>
  <dc:creator>[Your Organization]</dc:creator>
  <cp:lastModifiedBy>Un-named</cp:lastModifiedBy>
  <cp:revision>1</cp:revision>
  <dcterms:created xsi:type="dcterms:W3CDTF">2026-07-31T07:35:16.931Z</dcterms:created>
  <dcterms:modified xsi:type="dcterms:W3CDTF">2026-07-31T07:35:16.931Z</dcterms:modified>
</cp:coreProperties>
</file>

<file path=docProps/custom.xml><?xml version="1.0" encoding="utf-8"?>
<Properties xmlns="http://schemas.openxmlformats.org/officeDocument/2006/custom-properties" xmlns:vt="http://schemas.openxmlformats.org/officeDocument/2006/docPropsVTypes"/>
</file>