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2F5496"/>
          <w:sz w:val="36"/>
          <w:szCs w:val="36"/>
        </w:rPr>
        <w:t xml:space="preserve">Security Incident Report (IR-CMSG-20251218)</w:t>
      </w:r>
    </w:p>
    <w:p>
      <w:pPr>
        <w:spacing w:after="20"/>
      </w:pPr>
      <w:r>
        <w:rPr>
          <w:rFonts w:ascii="Calibri" w:cs="Calibri" w:eastAsia="Calibri" w:hAnsi="Calibri"/>
          <w:b/>
          <w:bCs/>
          <w:color w:val="1A1A1A"/>
          <w:sz w:val="24"/>
          <w:szCs w:val="24"/>
        </w:rPr>
        <w:t xml:space="preserve">Consolidated Messengers</w:t>
      </w:r>
    </w:p>
    <w:p>
      <w:pPr>
        <w:pBdr>
          <w:bottom w:val="single" w:color="2F5496" w:sz="6" w:space="6"/>
        </w:pBdr>
        <w:spacing w:after="160"/>
      </w:pPr>
      <w:r>
        <w:rPr>
          <w:rFonts w:ascii="Calibri" w:cs="Calibri" w:eastAsia="Calibri" w:hAnsi="Calibri"/>
          <w:color w:val="666666"/>
          <w:sz w:val="20"/>
          <w:szCs w:val="20"/>
        </w:rPr>
        <w:t xml:space="preserve">Report Date: December 18, 2025</w:t>
      </w:r>
    </w:p>
    <w:p>
      <w:pPr>
        <w:keepNext/>
        <w:spacing w:after="80" w:before="200"/>
      </w:pPr>
      <w:r>
        <w:rPr>
          <w:rFonts w:ascii="Calibri" w:cs="Calibri" w:eastAsia="Calibri" w:hAnsi="Calibri"/>
          <w:b/>
          <w:bCs/>
          <w:color w:val="2F5496"/>
          <w:sz w:val="28"/>
          <w:szCs w:val="28"/>
        </w:rPr>
        <w:t xml:space="preserve">Executive Summary</w:t>
      </w:r>
    </w:p>
    <w:p>
      <w:pPr>
        <w:spacing w:after="120"/>
      </w:pPr>
      <w:r>
        <w:rPr>
          <w:rFonts w:ascii="Calibri" w:cs="Calibri" w:eastAsia="Calibri" w:hAnsi="Calibri"/>
          <w:b/>
          <w:bCs/>
          <w:color w:val="1A1A1A"/>
          <w:sz w:val="22"/>
          <w:szCs w:val="22"/>
        </w:rPr>
        <w:t xml:space="preserve">On December 17, 2025 (UTC), </w:t>
      </w:r>
      <w:r>
        <w:rPr>
          <w:rFonts w:ascii="Calibri" w:cs="Calibri" w:eastAsia="Calibri" w:hAnsi="Calibri"/>
          <w:color w:val="1A1A1A"/>
          <w:sz w:val="22"/>
          <w:szCs w:val="22"/>
        </w:rPr>
        <w:t xml:space="preserve">Consolidated Messengers experienced a business email compromise that began with the mailbox </w:t>
      </w:r>
      <w:r>
        <w:rPr>
          <w:rFonts w:ascii="Calibri" w:cs="Calibri" w:eastAsia="Calibri" w:hAnsi="Calibri"/>
          <w:color w:val="1A1A1A"/>
          <w:sz w:val="22"/>
          <w:szCs w:val="22"/>
        </w:rPr>
        <w:t xml:space="preserve">“gutierrez2@consolidatedmsgr.com”</w:t>
      </w:r>
      <w:r>
        <w:rPr>
          <w:rFonts w:ascii="Calibri" w:cs="Calibri" w:eastAsia="Calibri" w:hAnsi="Calibri"/>
          <w:color w:val="1A1A1A"/>
          <w:sz w:val="22"/>
          <w:szCs w:val="22"/>
        </w:rPr>
        <w:t xml:space="preserve">. A support ticket was opened to investigate a potential account compromise. Initial review of the tenant identified a malicious inbox rule on the affected account, recent sign-ins from an unusual location across several accounts, and an internal phishing message that had been sent from the tenant; passwords for the affected accounts were reset the same day. A follow-up investigation was then conducted, correlating the available sign-in, audit, inbox-rule, and message-trace logs. That investigation confirmed the affected accounts have been triaged and that there are currently no other signs of account compromise or unmitigated threat on the tenant.</w:t>
      </w:r>
    </w:p>
    <w:p>
      <w:pPr>
        <w:spacing w:after="120"/>
      </w:pPr>
      <w:r>
        <w:rPr>
          <w:rFonts w:ascii="Calibri" w:cs="Calibri" w:eastAsia="Calibri" w:hAnsi="Calibri"/>
          <w:color w:val="1A1A1A"/>
          <w:sz w:val="22"/>
          <w:szCs w:val="22"/>
        </w:rPr>
        <w:t xml:space="preserve">Suspicious sign-ins to four accounts were observed from IP addresses geolocated to Arizona and Virginia, using automated tooling (an HTTP client rather than a normal web browser) inconsistent with normal user activity. Failed sign-in attempts against the initial account were recorded as early as the evening of December 16 (UTC), with the first successful unauthorized sign-in at approximately 15:54 UTC on December 17. After gaining access, the threat actor read messages, then created an inbox rule (named </w:t>
      </w:r>
      <w:r>
        <w:rPr>
          <w:rFonts w:ascii="Calibri" w:cs="Calibri" w:eastAsia="Calibri" w:hAnsi="Calibri"/>
          <w:color w:val="1A1A1A"/>
          <w:sz w:val="22"/>
          <w:szCs w:val="22"/>
        </w:rPr>
        <w:t xml:space="preserve">“..”</w:t>
      </w:r>
      <w:r>
        <w:rPr>
          <w:rFonts w:ascii="Calibri" w:cs="Calibri" w:eastAsia="Calibri" w:hAnsi="Calibri"/>
          <w:color w:val="1A1A1A"/>
          <w:sz w:val="22"/>
          <w:szCs w:val="22"/>
        </w:rPr>
        <w:t xml:space="preserve">) that moved incoming messages to the RSS Feeds folder and marked them as read, concealing replies and activity from the legitimate account users. The threat actor then sent an internal phishing blast from the account (approximately 21 messages within about 75 seconds, beginning 16:27 UTC) with the subject </w:t>
      </w:r>
      <w:r>
        <w:rPr>
          <w:rFonts w:ascii="Calibri" w:cs="Calibri" w:eastAsia="Calibri" w:hAnsi="Calibri"/>
          <w:color w:val="1A1A1A"/>
          <w:sz w:val="22"/>
          <w:szCs w:val="22"/>
        </w:rPr>
        <w:t xml:space="preserve">“Consolidatedmsgr”</w:t>
      </w:r>
      <w:r>
        <w:rPr>
          <w:rFonts w:ascii="Calibri" w:cs="Calibri" w:eastAsia="Calibri" w:hAnsi="Calibri"/>
          <w:color w:val="1A1A1A"/>
          <w:sz w:val="22"/>
          <w:szCs w:val="22"/>
        </w:rPr>
        <w:t xml:space="preserve">, which appears to be the source of the additional account compromises. Initial access, rule creation, and the outbound blast occurred within approximately 45 minutes, with the additional account compromises following over the next several hours (observed threat-actor sign-in activity continued until roughly 18:53 UTC). The likely source of the intrusion was an inbound phishing message received that morning with the subject </w:t>
      </w:r>
      <w:r>
        <w:rPr>
          <w:rFonts w:ascii="Calibri" w:cs="Calibri" w:eastAsia="Calibri" w:hAnsi="Calibri"/>
          <w:color w:val="1A1A1A"/>
          <w:sz w:val="22"/>
          <w:szCs w:val="22"/>
        </w:rPr>
        <w:t xml:space="preserve">“Fourlane”</w:t>
      </w:r>
      <w:r>
        <w:rPr>
          <w:rFonts w:ascii="Calibri" w:cs="Calibri" w:eastAsia="Calibri" w:hAnsi="Calibri"/>
          <w:color w:val="1A1A1A"/>
          <w:sz w:val="22"/>
          <w:szCs w:val="22"/>
        </w:rPr>
        <w:t xml:space="preserve">, whose embedded link led to a fraudulent Microsoft sign-in (credential-harvesting) page.</w:t>
      </w:r>
    </w:p>
    <w:p>
      <w:pPr>
        <w:keepNext/>
        <w:spacing w:after="80" w:before="200"/>
      </w:pPr>
      <w:r>
        <w:rPr>
          <w:rFonts w:ascii="Calibri" w:cs="Calibri" w:eastAsia="Calibri" w:hAnsi="Calibri"/>
          <w:b/>
          <w:bCs/>
          <w:color w:val="2F5496"/>
          <w:sz w:val="28"/>
          <w:szCs w:val="28"/>
        </w:rPr>
        <w:t xml:space="preserve">Status: </w:t>
      </w:r>
      <w:r>
        <w:rPr>
          <w:rFonts w:ascii="Calibri" w:cs="Calibri" w:eastAsia="Calibri" w:hAnsi="Calibri"/>
          <w:b/>
          <w:bCs/>
          <w:color w:val="1A1A1A"/>
          <w:sz w:val="22"/>
          <w:szCs w:val="22"/>
        </w:rPr>
        <w:t xml:space="preserve">The affected accounts have been contained and remediated.</w:t>
      </w:r>
    </w:p>
    <w:p>
      <w:pPr>
        <w:pStyle w:val="ListParagraph"/>
        <w:numPr>
          <w:ilvl w:val="0"/>
          <w:numId w:val="2"/>
        </w:numPr>
        <w:spacing w:after="40"/>
      </w:pPr>
      <w:r>
        <w:rPr>
          <w:rFonts w:ascii="Calibri" w:cs="Calibri" w:eastAsia="Calibri" w:hAnsi="Calibri"/>
          <w:color w:val="1A1A1A"/>
          <w:sz w:val="22"/>
          <w:szCs w:val="22"/>
        </w:rPr>
        <w:t xml:space="preserve">The initial compromise of “gutierrez2@consolidatedmsgr.com” led to three additional compromised accounts (“bennett4@”, “garcia2@”, and “jackson2@consolidatedmsgr.com”) via the internal phishing blast; passwords were reset on all four affected accounts.</w:t>
      </w:r>
    </w:p>
    <w:p>
      <w:pPr>
        <w:pStyle w:val="ListParagraph"/>
        <w:numPr>
          <w:ilvl w:val="0"/>
          <w:numId w:val="2"/>
        </w:numPr>
        <w:spacing w:after="40"/>
      </w:pPr>
      <w:r>
        <w:rPr>
          <w:rFonts w:ascii="Calibri" w:cs="Calibri" w:eastAsia="Calibri" w:hAnsi="Calibri"/>
          <w:color w:val="1A1A1A"/>
          <w:sz w:val="22"/>
          <w:szCs w:val="22"/>
        </w:rPr>
        <w:t xml:space="preserve">One further account (“ortiz3@consolidatedmsgr.com”) was targeted; the access attempt was not successful.</w:t>
      </w:r>
    </w:p>
    <w:p>
      <w:pPr>
        <w:pStyle w:val="ListParagraph"/>
        <w:numPr>
          <w:ilvl w:val="0"/>
          <w:numId w:val="2"/>
        </w:numPr>
        <w:spacing w:after="40"/>
      </w:pPr>
      <w:r>
        <w:rPr>
          <w:rFonts w:ascii="Calibri" w:cs="Calibri" w:eastAsia="Calibri" w:hAnsi="Calibri"/>
          <w:color w:val="1A1A1A"/>
          <w:sz w:val="22"/>
          <w:szCs w:val="22"/>
        </w:rPr>
        <w:t xml:space="preserve">The malicious inbox rule created on the initial account was removed.</w:t>
      </w:r>
    </w:p>
    <w:p>
      <w:pPr>
        <w:pStyle w:val="ListParagraph"/>
        <w:numPr>
          <w:ilvl w:val="0"/>
          <w:numId w:val="2"/>
        </w:numPr>
        <w:spacing w:after="40"/>
      </w:pPr>
      <w:r>
        <w:rPr>
          <w:rFonts w:ascii="Calibri" w:cs="Calibri" w:eastAsia="Calibri" w:hAnsi="Calibri"/>
          <w:color w:val="1A1A1A"/>
          <w:sz w:val="22"/>
          <w:szCs w:val="22"/>
        </w:rPr>
        <w:t xml:space="preserve">The inbound “Fourlane” phishing message and the internal “Consolidatedmsgr” phishing blast were purged from the tenant.</w:t>
      </w:r>
    </w:p>
    <w:p>
      <w:pPr>
        <w:pStyle w:val="ListParagraph"/>
        <w:numPr>
          <w:ilvl w:val="0"/>
          <w:numId w:val="2"/>
        </w:numPr>
        <w:spacing w:after="40"/>
      </w:pPr>
      <w:r>
        <w:rPr>
          <w:rFonts w:ascii="Calibri" w:cs="Calibri" w:eastAsia="Calibri" w:hAnsi="Calibri"/>
          <w:color w:val="1A1A1A"/>
          <w:sz w:val="22"/>
          <w:szCs w:val="22"/>
        </w:rPr>
        <w:t xml:space="preserve">No further signs of account compromise or unmitigated threat were identified during the follow-up investigation.</w:t>
      </w:r>
    </w:p>
    <w:p>
      <w:pPr>
        <w:keepNext/>
        <w:spacing w:after="80" w:before="200"/>
      </w:pPr>
      <w:r>
        <w:rPr>
          <w:rFonts w:ascii="Calibri" w:cs="Calibri" w:eastAsia="Calibri" w:hAnsi="Calibri"/>
          <w:b/>
          <w:bCs/>
          <w:color w:val="2F5496"/>
          <w:sz w:val="28"/>
          <w:szCs w:val="28"/>
        </w:rPr>
        <w:t xml:space="preserve">Impact: </w:t>
      </w:r>
      <w:r>
        <w:rPr>
          <w:rFonts w:ascii="Calibri" w:cs="Calibri" w:eastAsia="Calibri" w:hAnsi="Calibri"/>
          <w:b/>
          <w:bCs/>
          <w:color w:val="1A1A1A"/>
          <w:sz w:val="22"/>
          <w:szCs w:val="22"/>
        </w:rPr>
        <w:t xml:space="preserve">Limited to four mailboxes, with no confirmed financial loss.</w:t>
      </w:r>
    </w:p>
    <w:p>
      <w:pPr>
        <w:pStyle w:val="ListParagraph"/>
        <w:numPr>
          <w:ilvl w:val="0"/>
          <w:numId w:val="2"/>
        </w:numPr>
        <w:spacing w:after="40"/>
      </w:pPr>
      <w:r>
        <w:rPr>
          <w:rFonts w:ascii="Calibri" w:cs="Calibri" w:eastAsia="Calibri" w:hAnsi="Calibri"/>
          <w:color w:val="1A1A1A"/>
          <w:sz w:val="22"/>
          <w:szCs w:val="22"/>
        </w:rPr>
        <w:t xml:space="preserve">Confirmed compromise was contained to four user accounts; while the internal phishing blast reached numerous recipients, no takeovers beyond these four were identified.</w:t>
      </w:r>
    </w:p>
    <w:p>
      <w:pPr>
        <w:pStyle w:val="ListParagraph"/>
        <w:numPr>
          <w:ilvl w:val="0"/>
          <w:numId w:val="2"/>
        </w:numPr>
        <w:spacing w:after="40"/>
      </w:pPr>
      <w:r>
        <w:rPr>
          <w:rFonts w:ascii="Calibri" w:cs="Calibri" w:eastAsia="Calibri" w:hAnsi="Calibri"/>
          <w:color w:val="1A1A1A"/>
          <w:sz w:val="22"/>
          <w:szCs w:val="22"/>
        </w:rPr>
        <w:t xml:space="preserve">The threat actor used an inbox rule (moving inbound mail to RSS Feeds and marking it read) to hide their activity from the legitimate users of the initial account.</w:t>
      </w:r>
    </w:p>
    <w:p>
      <w:pPr>
        <w:pStyle w:val="ListParagraph"/>
        <w:numPr>
          <w:ilvl w:val="0"/>
          <w:numId w:val="2"/>
        </w:numPr>
        <w:spacing w:after="40"/>
      </w:pPr>
      <w:r>
        <w:rPr>
          <w:rFonts w:ascii="Calibri" w:cs="Calibri" w:eastAsia="Calibri" w:hAnsi="Calibri"/>
          <w:color w:val="1A1A1A"/>
          <w:sz w:val="22"/>
          <w:szCs w:val="22"/>
        </w:rPr>
        <w:t xml:space="preserve">The tenant-wide purge of the internal blast removed 36 items across 20 mailboxes; the purge on “garcia2@consolidatedmsgr.com” returned a transient error and should be re-run to confirm removal.</w:t>
      </w:r>
    </w:p>
    <w:p>
      <w:pPr>
        <w:pStyle w:val="ListParagraph"/>
        <w:numPr>
          <w:ilvl w:val="0"/>
          <w:numId w:val="2"/>
        </w:numPr>
        <w:spacing w:after="40"/>
      </w:pPr>
      <w:r>
        <w:rPr>
          <w:rFonts w:ascii="Calibri" w:cs="Calibri" w:eastAsia="Calibri" w:hAnsi="Calibri"/>
          <w:color w:val="1A1A1A"/>
          <w:sz w:val="22"/>
          <w:szCs w:val="22"/>
        </w:rPr>
        <w:t xml:space="preserve">No evidence of data exfiltration beyond mailbox access, and no financial loss, was identified.</w:t>
      </w:r>
    </w:p>
    <w:p>
      <w:pPr>
        <w:keepNext/>
        <w:spacing w:after="80" w:before="200"/>
      </w:pPr>
      <w:r>
        <w:rPr>
          <w:rFonts w:ascii="Calibri" w:cs="Calibri" w:eastAsia="Calibri" w:hAnsi="Calibri"/>
          <w:b/>
          <w:bCs/>
          <w:color w:val="2F5496"/>
          <w:sz w:val="28"/>
          <w:szCs w:val="28"/>
        </w:rPr>
        <w:t xml:space="preserve">Actions Performed</w:t>
      </w:r>
    </w:p>
    <w:p>
      <w:pPr>
        <w:pStyle w:val="ListParagraph"/>
        <w:numPr>
          <w:ilvl w:val="0"/>
          <w:numId w:val="2"/>
        </w:numPr>
        <w:spacing w:after="40"/>
      </w:pPr>
      <w:r>
        <w:rPr>
          <w:rFonts w:ascii="Calibri" w:cs="Calibri" w:eastAsia="Calibri" w:hAnsi="Calibri"/>
          <w:color w:val="1A1A1A"/>
          <w:sz w:val="22"/>
          <w:szCs w:val="22"/>
        </w:rPr>
        <w:t xml:space="preserve">Reset passwords and revoked access for the four affected accounts (“gutierrez2@”, “bennett4@”, “garcia2@”, and “jackson2@consolidatedmsgr.com”).</w:t>
      </w:r>
    </w:p>
    <w:p>
      <w:pPr>
        <w:pStyle w:val="ListParagraph"/>
        <w:numPr>
          <w:ilvl w:val="0"/>
          <w:numId w:val="2"/>
        </w:numPr>
        <w:spacing w:after="40"/>
      </w:pPr>
      <w:r>
        <w:rPr>
          <w:rFonts w:ascii="Calibri" w:cs="Calibri" w:eastAsia="Calibri" w:hAnsi="Calibri"/>
          <w:color w:val="1A1A1A"/>
          <w:sz w:val="22"/>
          <w:szCs w:val="22"/>
        </w:rPr>
        <w:t xml:space="preserve">Removed the malicious inbox rule (“..”) from the initial compromised account.</w:t>
      </w:r>
    </w:p>
    <w:p>
      <w:pPr>
        <w:pStyle w:val="ListParagraph"/>
        <w:numPr>
          <w:ilvl w:val="0"/>
          <w:numId w:val="2"/>
        </w:numPr>
        <w:spacing w:after="40"/>
      </w:pPr>
      <w:r>
        <w:rPr>
          <w:rFonts w:ascii="Calibri" w:cs="Calibri" w:eastAsia="Calibri" w:hAnsi="Calibri"/>
          <w:color w:val="1A1A1A"/>
          <w:sz w:val="22"/>
          <w:szCs w:val="22"/>
        </w:rPr>
        <w:t xml:space="preserve">Purged the inbound “Fourlane” phishing message from the recipient mailbox.</w:t>
      </w:r>
    </w:p>
    <w:p>
      <w:pPr>
        <w:pStyle w:val="ListParagraph"/>
        <w:numPr>
          <w:ilvl w:val="0"/>
          <w:numId w:val="2"/>
        </w:numPr>
        <w:spacing w:after="40"/>
      </w:pPr>
      <w:r>
        <w:rPr>
          <w:rFonts w:ascii="Calibri" w:cs="Calibri" w:eastAsia="Calibri" w:hAnsi="Calibri"/>
          <w:color w:val="1A1A1A"/>
          <w:sz w:val="22"/>
          <w:szCs w:val="22"/>
        </w:rPr>
        <w:t xml:space="preserve">Purged the internal “Consolidatedmsgr” phishing blast tenant-wide (36 items across 20 mailboxes; the “garcia2@” mailbox is pending a purge re-run).</w:t>
      </w:r>
    </w:p>
    <w:p>
      <w:pPr>
        <w:pStyle w:val="ListParagraph"/>
        <w:numPr>
          <w:ilvl w:val="0"/>
          <w:numId w:val="2"/>
        </w:numPr>
        <w:spacing w:after="40"/>
      </w:pPr>
      <w:r>
        <w:rPr>
          <w:rFonts w:ascii="Calibri" w:cs="Calibri" w:eastAsia="Calibri" w:hAnsi="Calibri"/>
          <w:color w:val="1A1A1A"/>
          <w:sz w:val="22"/>
          <w:szCs w:val="22"/>
        </w:rPr>
        <w:t xml:space="preserve">Correlated sign-in, audit, inbox-rule, and message-trace logs to scope the intrusion and confirm no further compromise.</w:t>
      </w:r>
    </w:p>
    <w:p>
      <w:pPr>
        <w:keepNext/>
        <w:spacing w:after="80" w:before="200"/>
      </w:pPr>
      <w:r>
        <w:rPr>
          <w:rFonts w:ascii="Calibri" w:cs="Calibri" w:eastAsia="Calibri" w:hAnsi="Calibri"/>
          <w:b/>
          <w:bCs/>
          <w:color w:val="2F5496"/>
          <w:sz w:val="28"/>
          <w:szCs w:val="28"/>
        </w:rPr>
        <w:t xml:space="preserve">Recommendations</w:t>
      </w:r>
    </w:p>
    <w:p>
      <w:pPr>
        <w:pStyle w:val="ListParagraph"/>
        <w:numPr>
          <w:ilvl w:val="0"/>
          <w:numId w:val="2"/>
        </w:numPr>
        <w:spacing w:after="40" w:before="40"/>
      </w:pPr>
      <w:r>
        <w:rPr>
          <w:rFonts w:ascii="Calibri" w:cs="Calibri" w:eastAsia="Calibri" w:hAnsi="Calibri"/>
          <w:b/>
          <w:bCs/>
          <w:color w:val="1A1A1A"/>
          <w:sz w:val="22"/>
          <w:szCs w:val="22"/>
        </w:rPr>
        <w:t xml:space="preserve">Identity &amp; Access: </w:t>
      </w:r>
      <w:r>
        <w:rPr>
          <w:rFonts w:ascii="Calibri" w:cs="Calibri" w:eastAsia="Calibri" w:hAnsi="Calibri"/>
          <w:color w:val="1A1A1A"/>
          <w:sz w:val="22"/>
          <w:szCs w:val="22"/>
        </w:rPr>
        <w:t xml:space="preserve">Enforce multi-factor authentication for all users, including administrator accounts, and prioritize phishing-resistant methods. The malicious sign-ins used an automated HTTP client rather than a normal browser, which strong MFA and Conditional Access would have impeded.</w:t>
      </w:r>
    </w:p>
    <w:p>
      <w:pPr>
        <w:pStyle w:val="ListParagraph"/>
        <w:numPr>
          <w:ilvl w:val="0"/>
          <w:numId w:val="2"/>
        </w:numPr>
        <w:spacing w:after="40" w:before="40"/>
      </w:pPr>
      <w:r>
        <w:rPr>
          <w:rFonts w:ascii="Calibri" w:cs="Calibri" w:eastAsia="Calibri" w:hAnsi="Calibri"/>
          <w:b/>
          <w:bCs/>
          <w:color w:val="1A1A1A"/>
          <w:sz w:val="22"/>
          <w:szCs w:val="22"/>
        </w:rPr>
        <w:t xml:space="preserve">Identity &amp; Access: </w:t>
      </w:r>
      <w:r>
        <w:rPr>
          <w:rFonts w:ascii="Calibri" w:cs="Calibri" w:eastAsia="Calibri" w:hAnsi="Calibri"/>
          <w:color w:val="1A1A1A"/>
          <w:sz w:val="22"/>
          <w:szCs w:val="22"/>
        </w:rPr>
        <w:t xml:space="preserve">Deploy Conditional Access policies to block legacy and automated authentication and to challenge or block sign-ins from unfamiliar locations and devices.</w:t>
      </w:r>
    </w:p>
    <w:p>
      <w:pPr>
        <w:pStyle w:val="ListParagraph"/>
        <w:numPr>
          <w:ilvl w:val="0"/>
          <w:numId w:val="2"/>
        </w:numPr>
        <w:spacing w:after="40" w:before="40"/>
      </w:pPr>
      <w:r>
        <w:rPr>
          <w:rFonts w:ascii="Calibri" w:cs="Calibri" w:eastAsia="Calibri" w:hAnsi="Calibri"/>
          <w:b/>
          <w:bCs/>
          <w:color w:val="1A1A1A"/>
          <w:sz w:val="22"/>
          <w:szCs w:val="22"/>
        </w:rPr>
        <w:t xml:space="preserve">Security Awareness: </w:t>
      </w:r>
      <w:r>
        <w:rPr>
          <w:rFonts w:ascii="Calibri" w:cs="Calibri" w:eastAsia="Calibri" w:hAnsi="Calibri"/>
          <w:color w:val="1A1A1A"/>
          <w:sz w:val="22"/>
          <w:szCs w:val="22"/>
        </w:rPr>
        <w:t xml:space="preserve">Provide phishing-recognition training and reinforce caution with unexpected links, including messages that appear to come from trusted internal colleagues, as this incident spread through an internal blast.</w:t>
      </w:r>
    </w:p>
    <w:p>
      <w:pPr>
        <w:pStyle w:val="ListParagraph"/>
        <w:numPr>
          <w:ilvl w:val="0"/>
          <w:numId w:val="2"/>
        </w:numPr>
        <w:spacing w:after="40" w:before="40"/>
      </w:pPr>
      <w:r>
        <w:rPr>
          <w:rFonts w:ascii="Calibri" w:cs="Calibri" w:eastAsia="Calibri" w:hAnsi="Calibri"/>
          <w:b/>
          <w:bCs/>
          <w:color w:val="1A1A1A"/>
          <w:sz w:val="22"/>
          <w:szCs w:val="22"/>
        </w:rPr>
        <w:t xml:space="preserve">Monitoring &amp; Detection: </w:t>
      </w:r>
      <w:r>
        <w:rPr>
          <w:rFonts w:ascii="Calibri" w:cs="Calibri" w:eastAsia="Calibri" w:hAnsi="Calibri"/>
          <w:color w:val="1A1A1A"/>
          <w:sz w:val="22"/>
          <w:szCs w:val="22"/>
        </w:rPr>
        <w:t xml:space="preserve">Alert on high-risk mailbox events such as new inbox rules and unusual mass-send activity; in this incident the inbox rule and the outbound blast occurred within roughly 45 minutes of initial access.</w:t>
      </w:r>
    </w:p>
    <w:p>
      <w:pPr>
        <w:pStyle w:val="ListParagraph"/>
        <w:numPr>
          <w:ilvl w:val="0"/>
          <w:numId w:val="2"/>
        </w:numPr>
        <w:spacing w:after="40" w:before="40"/>
      </w:pPr>
      <w:r>
        <w:rPr>
          <w:rFonts w:ascii="Calibri" w:cs="Calibri" w:eastAsia="Calibri" w:hAnsi="Calibri"/>
          <w:b/>
          <w:bCs/>
          <w:color w:val="1A1A1A"/>
          <w:sz w:val="22"/>
          <w:szCs w:val="22"/>
        </w:rPr>
        <w:t xml:space="preserve">Data Protection: </w:t>
      </w:r>
      <w:r>
        <w:rPr>
          <w:rFonts w:ascii="Calibri" w:cs="Calibri" w:eastAsia="Calibri" w:hAnsi="Calibri"/>
          <w:color w:val="1A1A1A"/>
          <w:sz w:val="22"/>
          <w:szCs w:val="22"/>
        </w:rPr>
        <w:t xml:space="preserve">Re-run the content-search purge on the “garcia2@” mailbox to confirm removal, and review and remove unused third-party application registrations (for example, the disabled “PERFECTDATA SOFTWARE” app) as general tenant hygiene.</w:t>
      </w:r>
    </w:p>
    <w:p>
      <w:pPr>
        <w:pBdr>
          <w:top w:val="single" w:color="666666" w:sz="4" w:space="6"/>
        </w:pBdr>
        <w:spacing w:before="240"/>
      </w:pPr>
      <w:r>
        <w:rPr>
          <w:rFonts w:ascii="Calibri" w:cs="Calibri" w:eastAsia="Calibri" w:hAnsi="Calibri"/>
          <w:i/>
          <w:iCs/>
          <w:color w:val="666666"/>
          <w:sz w:val="18"/>
          <w:szCs w:val="18"/>
        </w:rPr>
        <w:t xml:space="preserve">Prepared by [Your Organization]. This summary is provided for the client’s decision-makers and is accompanied, where applicable, by a full investigation report containing supporting evidence.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2026-07-29T06:06:04.693Z</dcterms:created>
  <dcterms:modified xsi:type="dcterms:W3CDTF">2026-07-29T06:06:04.693Z</dcterms:modified>
</cp:coreProperties>
</file>

<file path=docProps/custom.xml><?xml version="1.0" encoding="utf-8"?>
<Properties xmlns="http://schemas.openxmlformats.org/officeDocument/2006/custom-properties" xmlns:vt="http://schemas.openxmlformats.org/officeDocument/2006/docPropsVTypes"/>
</file>