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2F5496"/>
          <w:sz w:val="28"/>
          <w:szCs w:val="28"/>
        </w:rPr>
        <w:t xml:space="preserve">[LOGO]  [Your Organization]</w:t>
      </w:r>
    </w:p>
    <w:p>
      <w:pPr>
        <w:pBdr>
          <w:bottom w:val="single" w:color="2F5496" w:sz="6" w:space="2"/>
        </w:pBdr>
        <w:spacing w:after="0"/>
      </w:pPr>
      <w:r>
        <w:rPr>
          <w:rFonts w:ascii="Calibri" w:cs="Calibri" w:eastAsia="Calibri" w:hAnsi="Calibri"/>
          <w:color w:val="666666"/>
          <w:sz w:val="18"/>
          <w:szCs w:val="18"/>
        </w:rPr>
        <w:t xml:space="preserve">[Street Address] · [City, State ZIP] · [Phone] · [Email] · [Website]</w:t>
      </w:r>
    </w:p>
    <w:p>
      <w:pPr>
        <w:spacing w:after="160" w:before="160" w:line="264"/>
      </w:pPr>
      <w:r>
        <w:rPr>
          <w:rFonts w:ascii="Calibri" w:cs="Calibri" w:eastAsia="Calibri" w:hAnsi="Calibri"/>
          <w:b/>
          <w:bCs/>
          <w:i w:val="false"/>
          <w:iCs w:val="false"/>
          <w:color w:val="666666"/>
          <w:sz w:val="20"/>
          <w:szCs w:val="20"/>
        </w:rPr>
        <w:t xml:space="preserve">CONFIDENTIAL</w:t>
      </w:r>
    </w:p>
    <w:p>
      <w:pPr>
        <w:spacing w:after="120" w:before="0" w:line="264"/>
      </w:pPr>
      <w:r>
        <w:rPr>
          <w:rFonts w:ascii="Calibri" w:cs="Calibri" w:eastAsia="Calibri" w:hAnsi="Calibri"/>
          <w:b w:val="false"/>
          <w:bCs w:val="false"/>
          <w:i w:val="false"/>
          <w:iCs w:val="false"/>
          <w:color w:val="1A1A1A"/>
          <w:sz w:val="22"/>
          <w:szCs w:val="22"/>
        </w:rPr>
        <w:t xml:space="preserve">September 29, 2025</w:t>
      </w:r>
    </w:p>
    <w:p>
      <w:pPr>
        <w:spacing w:after="0" w:before="0" w:line="264"/>
      </w:pPr>
      <w:r>
        <w:rPr>
          <w:rFonts w:ascii="Calibri" w:cs="Calibri" w:eastAsia="Calibri" w:hAnsi="Calibri"/>
          <w:b w:val="false"/>
          <w:bCs w:val="false"/>
          <w:i w:val="false"/>
          <w:iCs w:val="false"/>
          <w:color w:val="1A1A1A"/>
          <w:sz w:val="22"/>
          <w:szCs w:val="22"/>
        </w:rPr>
        <w:t xml:space="preserve">[Recipient Name]</w:t>
      </w:r>
    </w:p>
    <w:p>
      <w:pPr>
        <w:spacing w:after="0" w:before="0" w:line="264"/>
      </w:pPr>
      <w:r>
        <w:rPr>
          <w:rFonts w:ascii="Calibri" w:cs="Calibri" w:eastAsia="Calibri" w:hAnsi="Calibri"/>
          <w:b w:val="false"/>
          <w:bCs w:val="false"/>
          <w:i w:val="false"/>
          <w:iCs w:val="false"/>
          <w:color w:val="1A1A1A"/>
          <w:sz w:val="22"/>
          <w:szCs w:val="22"/>
        </w:rPr>
        <w:t xml:space="preserve">[Recipient Title]</w:t>
      </w:r>
    </w:p>
    <w:p>
      <w:pPr>
        <w:spacing w:after="0" w:before="0" w:line="264"/>
      </w:pPr>
      <w:r>
        <w:rPr>
          <w:rFonts w:ascii="Calibri" w:cs="Calibri" w:eastAsia="Calibri" w:hAnsi="Calibri"/>
          <w:b w:val="false"/>
          <w:bCs w:val="false"/>
          <w:i w:val="false"/>
          <w:iCs w:val="false"/>
          <w:color w:val="1A1A1A"/>
          <w:sz w:val="22"/>
          <w:szCs w:val="22"/>
        </w:rPr>
        <w:t xml:space="preserve">[Recipient Organization]</w:t>
      </w:r>
    </w:p>
    <w:p>
      <w:pPr>
        <w:spacing w:after="160" w:before="0" w:line="264"/>
      </w:pPr>
      <w:r>
        <w:rPr>
          <w:rFonts w:ascii="Calibri" w:cs="Calibri" w:eastAsia="Calibri" w:hAnsi="Calibri"/>
          <w:b w:val="false"/>
          <w:bCs w:val="false"/>
          <w:i w:val="false"/>
          <w:iCs w:val="false"/>
          <w:color w:val="1A1A1A"/>
          <w:sz w:val="22"/>
          <w:szCs w:val="22"/>
        </w:rPr>
        <w:t xml:space="preserve">[Address]</w:t>
      </w:r>
    </w:p>
    <w:p>
      <w:pPr>
        <w:spacing w:after="160" w:before="0" w:line="264"/>
      </w:pPr>
      <w:r>
        <w:rPr>
          <w:rFonts w:ascii="Calibri" w:cs="Calibri" w:eastAsia="Calibri" w:hAnsi="Calibri"/>
          <w:b/>
          <w:bCs/>
          <w:i w:val="false"/>
          <w:iCs w:val="false"/>
          <w:color w:val="1A1A1A"/>
          <w:sz w:val="22"/>
          <w:szCs w:val="22"/>
        </w:rPr>
        <w:t xml:space="preserve">Re:  Attestation of Investigation - Business Email Compromise Incident (Contoso Financial, Ref BEC-2025-0908)</w:t>
      </w:r>
    </w:p>
    <w:p>
      <w:pPr>
        <w:spacing w:after="120" w:before="0" w:line="264"/>
      </w:pPr>
      <w:r>
        <w:rPr>
          <w:rFonts w:ascii="Calibri" w:cs="Calibri" w:eastAsia="Calibri" w:hAnsi="Calibri"/>
          <w:b w:val="false"/>
          <w:bCs w:val="false"/>
          <w:i w:val="false"/>
          <w:iCs w:val="false"/>
          <w:color w:val="1A1A1A"/>
          <w:sz w:val="22"/>
          <w:szCs w:val="22"/>
        </w:rPr>
        <w:t xml:space="preserve">Dear [Recipient Name / To Whom It May Concern]:</w:t>
      </w:r>
    </w:p>
    <w:p>
      <w:pPr>
        <w:spacing w:after="120" w:before="0" w:line="264"/>
      </w:pPr>
      <w:r>
        <w:rPr>
          <w:rFonts w:ascii="Calibri" w:cs="Calibri" w:eastAsia="Calibri" w:hAnsi="Calibri"/>
          <w:b w:val="false"/>
          <w:bCs w:val="false"/>
          <w:i w:val="false"/>
          <w:iCs w:val="false"/>
          <w:color w:val="1A1A1A"/>
          <w:sz w:val="22"/>
          <w:szCs w:val="22"/>
        </w:rPr>
        <w:t xml:space="preserve">This letter attests to the findings of an investigation conducted by [Your Organization] (hereinafter “[Short Name]”) into a business email compromise incident, involving attempted wire fraud, affecting the Microsoft 365 tenant of Contoso Financial (primary domain contoso.com), which began on or about September 8, 2025 and was investigated under engagement reference BEC-2025-0908. It summarizes the scope, findings, and remediation status of that investigation and supports Contoso Financial’s communications with the named recipient.</w:t>
      </w:r>
    </w:p>
    <w:p>
      <w:pPr>
        <w:keepNext/>
        <w:spacing w:after="60" w:before="160"/>
      </w:pPr>
      <w:r>
        <w:rPr>
          <w:rFonts w:ascii="Calibri" w:cs="Calibri" w:eastAsia="Calibri" w:hAnsi="Calibri"/>
          <w:b/>
          <w:bCs/>
          <w:color w:val="2F5496"/>
          <w:sz w:val="24"/>
          <w:szCs w:val="24"/>
        </w:rPr>
        <w:t xml:space="preserve">Investigator Qualifications</w:t>
      </w:r>
    </w:p>
    <w:p>
      <w:pPr>
        <w:spacing w:after="120" w:before="0" w:line="264"/>
      </w:pPr>
      <w:r>
        <w:rPr>
          <w:rFonts w:ascii="Calibri" w:cs="Calibri" w:eastAsia="Calibri" w:hAnsi="Calibri"/>
          <w:b w:val="false"/>
          <w:bCs w:val="false"/>
          <w:i w:val="false"/>
          <w:iCs w:val="false"/>
          <w:color w:val="1A1A1A"/>
          <w:sz w:val="22"/>
          <w:szCs w:val="22"/>
        </w:rPr>
        <w:t xml:space="preserve">[Your Organization] provides digital forensics and incident response services focused on Microsoft 365 and Entra ID intrusions, including financial-sector business email compromise and wire-fraud matters. The lead investigator, [Investigator Name], holds [certifications, e.g., GCIH, GCFA] and has conducted numerous such investigations.</w:t>
      </w:r>
    </w:p>
    <w:p>
      <w:pPr>
        <w:keepNext/>
        <w:spacing w:after="60" w:before="160"/>
      </w:pPr>
      <w:r>
        <w:rPr>
          <w:rFonts w:ascii="Calibri" w:cs="Calibri" w:eastAsia="Calibri" w:hAnsi="Calibri"/>
          <w:b/>
          <w:bCs/>
          <w:color w:val="2F5496"/>
          <w:sz w:val="24"/>
          <w:szCs w:val="24"/>
        </w:rPr>
        <w:t xml:space="preserve">Incident Summary</w:t>
      </w:r>
    </w:p>
    <w:p>
      <w:pPr>
        <w:spacing w:after="120" w:before="0" w:line="264"/>
      </w:pPr>
      <w:r>
        <w:rPr>
          <w:rFonts w:ascii="Calibri" w:cs="Calibri" w:eastAsia="Calibri" w:hAnsi="Calibri"/>
          <w:b w:val="false"/>
          <w:bCs w:val="false"/>
          <w:i w:val="false"/>
          <w:iCs w:val="false"/>
          <w:color w:val="1A1A1A"/>
          <w:sz w:val="22"/>
          <w:szCs w:val="22"/>
        </w:rPr>
        <w:t xml:space="preserve">The investigation determined that the account “betty20@contoso.com” was accessed without authorization beginning September 8, 2025, and that the threat actor maintained access for approximately 21 days by registering its own multi-factor authentication method within minutes of initial compromise. Initial access exhibited adversary-in-the-middle characteristics and originated from hosting infrastructure. The actor read over 1,500 mailbox items, accessed the accounting team’s SharePoint site and the user’s OneDrive, initiated Microsoft Teams sessions, sent a fraudulent message, and staged wire-transfer interception rules. Matching rules on two additional accounts indicate a coordinated compromise. The incident was identified by a Contoso Financial administrator on September 29, 2025.</w:t>
      </w:r>
    </w:p>
    <w:p>
      <w:pPr>
        <w:keepNext/>
        <w:spacing w:after="60" w:before="160"/>
      </w:pPr>
      <w:r>
        <w:rPr>
          <w:rFonts w:ascii="Calibri" w:cs="Calibri" w:eastAsia="Calibri" w:hAnsi="Calibri"/>
          <w:b/>
          <w:bCs/>
          <w:color w:val="2F5496"/>
          <w:sz w:val="24"/>
          <w:szCs w:val="24"/>
        </w:rPr>
        <w:t xml:space="preserve">Scope of Investigation</w:t>
      </w:r>
    </w:p>
    <w:p>
      <w:pPr>
        <w:spacing w:after="120" w:before="0" w:line="264"/>
      </w:pPr>
      <w:r>
        <w:rPr>
          <w:rFonts w:ascii="Calibri" w:cs="Calibri" w:eastAsia="Calibri" w:hAnsi="Calibri"/>
          <w:b w:val="false"/>
          <w:bCs w:val="false"/>
          <w:i w:val="false"/>
          <w:iCs w:val="false"/>
          <w:color w:val="1A1A1A"/>
          <w:sz w:val="22"/>
          <w:szCs w:val="22"/>
        </w:rPr>
        <w:t xml:space="preserve">The evidence period spanned August 29 through September 29, 2025 (with IP-correlated review extending to July 30, 2025). Sources examined included Entra ID interactive sign-in logs, Entra ID audit logs, the Microsoft 365 Unified Audit Log (mailbox, SharePoint, and Teams activity), SharePoint and OneDrive audit events, inbox-rule change logs across the tenant, and Entra ID risk detections.</w:t>
      </w:r>
    </w:p>
    <w:p>
      <w:pPr>
        <w:keepNext/>
        <w:spacing w:after="60" w:before="160"/>
      </w:pPr>
      <w:r>
        <w:rPr>
          <w:rFonts w:ascii="Calibri" w:cs="Calibri" w:eastAsia="Calibri" w:hAnsi="Calibri"/>
          <w:b/>
          <w:bCs/>
          <w:color w:val="2F5496"/>
          <w:sz w:val="24"/>
          <w:szCs w:val="24"/>
        </w:rPr>
        <w:t xml:space="preserve">Investigation Status</w:t>
      </w:r>
    </w:p>
    <w:p>
      <w:pPr>
        <w:spacing w:after="120" w:before="0" w:line="264"/>
      </w:pPr>
      <w:r>
        <w:rPr>
          <w:rFonts w:ascii="Calibri" w:cs="Calibri" w:eastAsia="Calibri" w:hAnsi="Calibri"/>
          <w:b w:val="false"/>
          <w:bCs w:val="false"/>
          <w:i w:val="false"/>
          <w:iCs w:val="false"/>
          <w:color w:val="1A1A1A"/>
          <w:sz w:val="22"/>
          <w:szCs w:val="22"/>
        </w:rPr>
        <w:t xml:space="preserve">The investigation of the primary account is complete and its remediation has been performed and verified. Investigation of two related accounts (green34, george26) and a secondary identity is a recommended follow-up.</w:t>
      </w:r>
    </w:p>
    <w:p>
      <w:pPr>
        <w:keepNext/>
        <w:spacing w:after="60" w:before="160"/>
      </w:pPr>
      <w:r>
        <w:rPr>
          <w:rFonts w:ascii="Calibri" w:cs="Calibri" w:eastAsia="Calibri" w:hAnsi="Calibri"/>
          <w:b/>
          <w:bCs/>
          <w:color w:val="2F5496"/>
          <w:sz w:val="24"/>
          <w:szCs w:val="24"/>
        </w:rPr>
        <w:t xml:space="preserve">Summary of Findings</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Initial Access: </w:t>
      </w:r>
      <w:r>
        <w:rPr>
          <w:rFonts w:ascii="Calibri" w:cs="Calibri" w:eastAsia="Calibri" w:hAnsi="Calibri"/>
          <w:b w:val="false"/>
          <w:bCs w:val="false"/>
          <w:i w:val="false"/>
          <w:iCs w:val="false"/>
          <w:color w:val="1A1A1A"/>
          <w:sz w:val="22"/>
          <w:szCs w:val="22"/>
        </w:rPr>
        <w:t xml:space="preserve">Adversary-in-the-middle sign-in from hosting infrastructure on September 8, 2025, followed within minutes by attacker MFA registration.</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Persistence Mechanisms: </w:t>
      </w:r>
      <w:r>
        <w:rPr>
          <w:rFonts w:ascii="Calibri" w:cs="Calibri" w:eastAsia="Calibri" w:hAnsi="Calibri"/>
          <w:b w:val="false"/>
          <w:bCs w:val="false"/>
          <w:i w:val="false"/>
          <w:iCs w:val="false"/>
          <w:color w:val="1A1A1A"/>
          <w:sz w:val="22"/>
          <w:szCs w:val="22"/>
        </w:rPr>
        <w:t xml:space="preserve">Attacker-registered MFA method; four malicious inbox rules (a catch-all and two wire-transfer interception rules); a secondary identity used for SharePoint access.</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Duration of Unauthorized Access: </w:t>
      </w:r>
      <w:r>
        <w:rPr>
          <w:rFonts w:ascii="Calibri" w:cs="Calibri" w:eastAsia="Calibri" w:hAnsi="Calibri"/>
          <w:b w:val="false"/>
          <w:bCs w:val="false"/>
          <w:i w:val="false"/>
          <w:iCs w:val="false"/>
          <w:color w:val="1A1A1A"/>
          <w:sz w:val="22"/>
          <w:szCs w:val="22"/>
        </w:rPr>
        <w:t xml:space="preserve">Approximately 21 days (September 8–29, 2025).</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Financial Impact: </w:t>
      </w:r>
      <w:r>
        <w:rPr>
          <w:rFonts w:ascii="Calibri" w:cs="Calibri" w:eastAsia="Calibri" w:hAnsi="Calibri"/>
          <w:b w:val="false"/>
          <w:bCs w:val="false"/>
          <w:i w:val="false"/>
          <w:iCs w:val="false"/>
          <w:color w:val="1A1A1A"/>
          <w:sz w:val="22"/>
          <w:szCs w:val="22"/>
        </w:rPr>
        <w:t xml:space="preserve">No completed fraudulent transfer was confirmed; the actor staged an attempted wire-fraud scheme via interception rules and sent a fraudulent message.</w:t>
      </w:r>
    </w:p>
    <w:p>
      <w:pPr>
        <w:pStyle w:val="ListParagraph"/>
        <w:numPr>
          <w:ilvl w:val="0"/>
          <w:numId w:val="2"/>
        </w:numPr>
        <w:spacing w:after="60" w:line="264"/>
      </w:pPr>
      <w:r>
        <w:rPr>
          <w:rFonts w:ascii="Calibri" w:cs="Calibri" w:eastAsia="Calibri" w:hAnsi="Calibri"/>
          <w:b/>
          <w:bCs/>
          <w:i w:val="false"/>
          <w:iCs w:val="false"/>
          <w:color w:val="1A1A1A"/>
          <w:sz w:val="22"/>
          <w:szCs w:val="22"/>
        </w:rPr>
        <w:t xml:space="preserve">Lateral Movement: </w:t>
      </w:r>
      <w:r>
        <w:rPr>
          <w:rFonts w:ascii="Calibri" w:cs="Calibri" w:eastAsia="Calibri" w:hAnsi="Calibri"/>
          <w:b w:val="false"/>
          <w:bCs w:val="false"/>
          <w:i w:val="false"/>
          <w:iCs w:val="false"/>
          <w:color w:val="1A1A1A"/>
          <w:sz w:val="22"/>
          <w:szCs w:val="22"/>
        </w:rPr>
        <w:t xml:space="preserve">Matching interception rules were found on two additional accounts (green34, george26), indicating multi-account compromise.</w:t>
      </w:r>
    </w:p>
    <w:p>
      <w:pPr>
        <w:keepNext/>
        <w:spacing w:after="60" w:before="160"/>
      </w:pPr>
      <w:r>
        <w:rPr>
          <w:rFonts w:ascii="Calibri" w:cs="Calibri" w:eastAsia="Calibri" w:hAnsi="Calibri"/>
          <w:b/>
          <w:bCs/>
          <w:color w:val="2F5496"/>
          <w:sz w:val="24"/>
          <w:szCs w:val="24"/>
        </w:rPr>
        <w:t xml:space="preserve">Data Exposure Assessment</w:t>
      </w:r>
    </w:p>
    <w:p>
      <w:pPr>
        <w:spacing w:after="120" w:before="0" w:line="264"/>
      </w:pPr>
      <w:r>
        <w:rPr>
          <w:rFonts w:ascii="Calibri" w:cs="Calibri" w:eastAsia="Calibri" w:hAnsi="Calibri"/>
          <w:b w:val="false"/>
          <w:bCs w:val="false"/>
          <w:i w:val="false"/>
          <w:iCs w:val="false"/>
          <w:color w:val="1A1A1A"/>
          <w:sz w:val="22"/>
          <w:szCs w:val="22"/>
        </w:rPr>
        <w:t xml:space="preserve">Specific access to mailbox contents was confirmed via audit evidence: the threat actor read over 1,500 items and accessed the accounting SharePoint site and the user’s OneDrive. Given the financial-institution context, accessed content is treated as likely to include regulated financial data. [Short Name] states this as a confirmed data-access incident, limited to the evidence reviewed.</w:t>
      </w:r>
    </w:p>
    <w:p>
      <w:pPr>
        <w:keepNext/>
        <w:spacing w:after="60" w:before="160"/>
      </w:pPr>
      <w:r>
        <w:rPr>
          <w:rFonts w:ascii="Calibri" w:cs="Calibri" w:eastAsia="Calibri" w:hAnsi="Calibri"/>
          <w:b/>
          <w:bCs/>
          <w:color w:val="2F5496"/>
          <w:sz w:val="24"/>
          <w:szCs w:val="24"/>
        </w:rPr>
        <w:t xml:space="preserve">Remediation</w:t>
      </w:r>
    </w:p>
    <w:p>
      <w:pPr>
        <w:spacing w:after="120" w:before="0" w:line="264"/>
      </w:pPr>
      <w:r>
        <w:rPr>
          <w:rFonts w:ascii="Calibri" w:cs="Calibri" w:eastAsia="Calibri" w:hAnsi="Calibri"/>
          <w:b w:val="false"/>
          <w:bCs w:val="false"/>
          <w:i w:val="false"/>
          <w:iCs w:val="false"/>
          <w:color w:val="1A1A1A"/>
          <w:sz w:val="22"/>
          <w:szCs w:val="22"/>
        </w:rPr>
        <w:t xml:space="preserve">The following actions were directed and have been completed on the primary account: betty20 was disabled and its sessions and refresh tokens revoked; the password was reset; the attacker-registered MFA method was removed; the four malicious inbox rules were deleted; and the legitimate user re-registered a clean MFA method. The fraudulent outbound message and intercepted wire-transfer notifications were identified for notification and verification. Investigation and remediation of the related accounts and secondary identity are in progress.</w:t>
      </w:r>
    </w:p>
    <w:p>
      <w:pPr>
        <w:spacing w:after="120" w:before="0" w:line="264"/>
      </w:pPr>
      <w:r>
        <w:rPr>
          <w:rFonts w:ascii="Calibri" w:cs="Calibri" w:eastAsia="Calibri" w:hAnsi="Calibri"/>
          <w:b w:val="false"/>
          <w:bCs w:val="false"/>
          <w:i w:val="false"/>
          <w:iCs w:val="false"/>
          <w:color w:val="1A1A1A"/>
          <w:sz w:val="22"/>
          <w:szCs w:val="22"/>
        </w:rPr>
        <w:t xml:space="preserve">Additional posture recommendations, including restricted MFA registration, phishing-resistant MFA, and continuous monitoring, are detailed in the referenced investigation report.</w:t>
      </w:r>
    </w:p>
    <w:p>
      <w:pPr>
        <w:keepNext/>
        <w:spacing w:after="60" w:before="160"/>
      </w:pPr>
      <w:r>
        <w:rPr>
          <w:rFonts w:ascii="Calibri" w:cs="Calibri" w:eastAsia="Calibri" w:hAnsi="Calibri"/>
          <w:b/>
          <w:bCs/>
          <w:color w:val="2F5496"/>
          <w:sz w:val="24"/>
          <w:szCs w:val="24"/>
        </w:rPr>
        <w:t xml:space="preserve">Attestation</w:t>
      </w:r>
    </w:p>
    <w:p>
      <w:pPr>
        <w:spacing w:after="120" w:before="0" w:line="264"/>
      </w:pPr>
      <w:r>
        <w:rPr>
          <w:rFonts w:ascii="Calibri" w:cs="Calibri" w:eastAsia="Calibri" w:hAnsi="Calibri"/>
          <w:b w:val="false"/>
          <w:bCs w:val="false"/>
          <w:i w:val="false"/>
          <w:iCs w:val="false"/>
          <w:color w:val="1A1A1A"/>
          <w:sz w:val="22"/>
          <w:szCs w:val="22"/>
        </w:rPr>
        <w:t xml:space="preserve">[Your Organization] attests that the statements above accurately reflect the findings of its investigation as of the date of this letter, based on the evidence reviewed and the methodology applied. This attestation is limited to the scope described and to the evidence available during the engagement. It is not legal advice and does not constitute a legal opinion.</w:t>
      </w:r>
    </w:p>
    <w:p>
      <w:pPr>
        <w:keepNext/>
        <w:spacing w:after="60" w:before="160"/>
      </w:pPr>
      <w:r>
        <w:rPr>
          <w:rFonts w:ascii="Calibri" w:cs="Calibri" w:eastAsia="Calibri" w:hAnsi="Calibri"/>
          <w:b/>
          <w:bCs/>
          <w:color w:val="2F5496"/>
          <w:sz w:val="24"/>
          <w:szCs w:val="24"/>
        </w:rPr>
        <w:t xml:space="preserve">Referenced Documents</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Incident Investigation Report, Contoso Financial, version 1.0, dated September 29, 2025 (Ref BEC-2025-0908).</w:t>
      </w:r>
    </w:p>
    <w:p>
      <w:pPr>
        <w:pStyle w:val="ListParagraph"/>
        <w:numPr>
          <w:ilvl w:val="0"/>
          <w:numId w:val="2"/>
        </w:numPr>
        <w:spacing w:after="60" w:line="264"/>
      </w:pPr>
      <w:r>
        <w:rPr>
          <w:rFonts w:ascii="Calibri" w:cs="Calibri" w:eastAsia="Calibri" w:hAnsi="Calibri"/>
          <w:b w:val="false"/>
          <w:bCs w:val="false"/>
          <w:i w:val="false"/>
          <w:iCs w:val="false"/>
          <w:color w:val="1A1A1A"/>
          <w:sz w:val="22"/>
          <w:szCs w:val="22"/>
        </w:rPr>
        <w:t xml:space="preserve">Engagement Letter / Statement of Work [reference and date].</w:t>
      </w:r>
    </w:p>
    <w:p>
      <w:pPr>
        <w:keepNext/>
        <w:spacing w:after="60" w:before="160"/>
      </w:pPr>
      <w:r>
        <w:rPr>
          <w:rFonts w:ascii="Calibri" w:cs="Calibri" w:eastAsia="Calibri" w:hAnsi="Calibri"/>
          <w:b/>
          <w:bCs/>
          <w:color w:val="2F5496"/>
          <w:sz w:val="24"/>
          <w:szCs w:val="24"/>
        </w:rPr>
        <w:t xml:space="preserve">Contact</w:t>
      </w:r>
    </w:p>
    <w:p>
      <w:pPr>
        <w:spacing w:after="120" w:before="0" w:line="264"/>
      </w:pPr>
      <w:r>
        <w:rPr>
          <w:rFonts w:ascii="Calibri" w:cs="Calibri" w:eastAsia="Calibri" w:hAnsi="Calibri"/>
          <w:b w:val="false"/>
          <w:bCs w:val="false"/>
          <w:i w:val="false"/>
          <w:iCs w:val="false"/>
          <w:color w:val="1A1A1A"/>
          <w:sz w:val="22"/>
          <w:szCs w:val="22"/>
        </w:rPr>
        <w:t xml:space="preserve">Questions regarding this attestation may be directed to the undersigned. Contoso Financial has authorized the named recipient to contact [Your Organization] on matters within the scope described above.</w:t>
      </w:r>
    </w:p>
    <w:p>
      <w:pPr>
        <w:spacing w:after="320" w:before="200" w:line="264"/>
      </w:pPr>
      <w:r>
        <w:rPr>
          <w:rFonts w:ascii="Calibri" w:cs="Calibri" w:eastAsia="Calibri" w:hAnsi="Calibri"/>
          <w:b w:val="false"/>
          <w:bCs w:val="false"/>
          <w:i w:val="false"/>
          <w:iCs w:val="false"/>
          <w:color w:val="1A1A1A"/>
          <w:sz w:val="22"/>
          <w:szCs w:val="22"/>
        </w:rPr>
        <w:t xml:space="preserve">Sincerely,</w:t>
      </w:r>
    </w:p>
    <w:p>
      <w:pPr>
        <w:spacing w:after="0" w:before="0" w:line="264"/>
      </w:pPr>
      <w:r>
        <w:rPr>
          <w:rFonts w:ascii="Calibri" w:cs="Calibri" w:eastAsia="Calibri" w:hAnsi="Calibri"/>
          <w:b/>
          <w:bCs/>
          <w:i w:val="false"/>
          <w:iCs w:val="false"/>
          <w:color w:val="1A1A1A"/>
          <w:sz w:val="22"/>
          <w:szCs w:val="22"/>
        </w:rPr>
        <w:t xml:space="preserve">[Signer Full Name]</w:t>
      </w:r>
    </w:p>
    <w:p>
      <w:pPr>
        <w:spacing w:after="0" w:before="0" w:line="264"/>
      </w:pPr>
      <w:r>
        <w:rPr>
          <w:rFonts w:ascii="Calibri" w:cs="Calibri" w:eastAsia="Calibri" w:hAnsi="Calibri"/>
          <w:b w:val="false"/>
          <w:bCs w:val="false"/>
          <w:i w:val="false"/>
          <w:iCs w:val="false"/>
          <w:color w:val="1A1A1A"/>
          <w:sz w:val="22"/>
          <w:szCs w:val="22"/>
        </w:rPr>
        <w:t xml:space="preserve">[Title], [Certifications]</w:t>
      </w:r>
    </w:p>
    <w:p>
      <w:pPr>
        <w:spacing w:after="0" w:before="0" w:line="264"/>
      </w:pPr>
      <w:r>
        <w:rPr>
          <w:rFonts w:ascii="Calibri" w:cs="Calibri" w:eastAsia="Calibri" w:hAnsi="Calibri"/>
          <w:b w:val="false"/>
          <w:bCs w:val="false"/>
          <w:i w:val="false"/>
          <w:iCs w:val="false"/>
          <w:color w:val="1A1A1A"/>
          <w:sz w:val="22"/>
          <w:szCs w:val="22"/>
        </w:rPr>
        <w:t xml:space="preserve">[Your Organization]</w:t>
      </w:r>
    </w:p>
    <w:p>
      <w:pPr>
        <w:spacing w:after="160" w:before="0" w:line="264"/>
      </w:pPr>
      <w:r>
        <w:rPr>
          <w:rFonts w:ascii="Calibri" w:cs="Calibri" w:eastAsia="Calibri" w:hAnsi="Calibri"/>
          <w:b w:val="false"/>
          <w:bCs w:val="false"/>
          <w:i w:val="false"/>
          <w:iCs w:val="false"/>
          <w:color w:val="1A1A1A"/>
          <w:sz w:val="22"/>
          <w:szCs w:val="22"/>
        </w:rPr>
        <w:t xml:space="preserve">[Direct Email] · [Direct Phone]</w:t>
      </w:r>
    </w:p>
    <w:p>
      <w:pPr>
        <w:spacing w:after="120" w:before="0" w:line="264"/>
      </w:pPr>
      <w:r>
        <w:rPr>
          <w:rFonts w:ascii="Calibri" w:cs="Calibri" w:eastAsia="Calibri" w:hAnsi="Calibri"/>
          <w:b w:val="false"/>
          <w:bCs w:val="false"/>
          <w:i/>
          <w:iCs/>
          <w:color w:val="666666"/>
          <w:sz w:val="20"/>
          <w:szCs w:val="20"/>
        </w:rPr>
        <w:t xml:space="preserve">This letter states facts about the investigation described above. It is not legal advice and is not a legal opinion on breach-notification obligations, which are the responsibility of the client and its counsel. Distribution is limited to the recipient named above and parties the client has authorized.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666666"/>
        <w:sz w:val="16"/>
        <w:szCs w:val="16"/>
      </w:rPr>
      <w:t xml:space="preserve">CONFIDENTIAL · Attestation · BEC-2025-0908</w:t>
    </w:r>
    <w:r>
      <w:rPr>
        <w:rFonts w:ascii="Calibri" w:cs="Calibri" w:eastAsia="Calibri" w:hAnsi="Calibri"/>
        <w:sz w:val="16"/>
        <w:szCs w:val="16"/>
      </w:rPr>
      <w:t xml:space="preserve">	</w:t>
    </w:r>
    <w:r>
      <w:rPr>
        <w:rFonts w:ascii="Calibri" w:cs="Calibri" w:eastAsia="Calibri" w:hAnsi="Calibri"/>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F5496"/>
      <w:sz w:val="28"/>
      <w:szCs w:val="28"/>
    </w:rPr>
  </w:style>
  <w:style w:type="paragraph" w:styleId="Heading2">
    <w:name w:val="Heading 2"/>
    <w:basedOn w:val="Normal"/>
    <w:next w:val="Normal"/>
    <w:qFormat/>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Contoso Financial Attestation Letter</dc:title>
  <dc:creator>[Your Organization]</dc:creator>
  <cp:lastModifiedBy>Un-named</cp:lastModifiedBy>
  <cp:revision>1</cp:revision>
  <dcterms:created xsi:type="dcterms:W3CDTF">2026-07-31T07:35:17.499Z</dcterms:created>
  <dcterms:modified xsi:type="dcterms:W3CDTF">2026-07-31T07:35:17.499Z</dcterms:modified>
</cp:coreProperties>
</file>

<file path=docProps/custom.xml><?xml version="1.0" encoding="utf-8"?>
<Properties xmlns="http://schemas.openxmlformats.org/officeDocument/2006/custom-properties" xmlns:vt="http://schemas.openxmlformats.org/officeDocument/2006/docPropsVTypes"/>
</file>