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Calibri" w:cs="Calibri" w:eastAsia="Calibri" w:hAnsi="Calibri"/>
          <w:color w:val="666666"/>
          <w:sz w:val="20"/>
          <w:szCs w:val="20"/>
        </w:rPr>
        <w:t xml:space="preserve">[LOGO]</w:t>
      </w:r>
    </w:p>
    <w:p>
      <w:pPr>
        <w:spacing w:after="80"/>
        <w:jc w:val="center"/>
      </w:pPr>
      <w:r>
        <w:rPr>
          <w:rFonts w:ascii="Calibri" w:cs="Calibri" w:eastAsia="Calibri" w:hAnsi="Calibri"/>
          <w:b/>
          <w:bCs/>
          <w:color w:val="666666"/>
          <w:sz w:val="22"/>
          <w:szCs w:val="22"/>
        </w:rPr>
        <w:t xml:space="preserve">BUSINESS EMAIL COMPROMISE, ATTEMPTED WIRE FRAUD</w:t>
      </w:r>
    </w:p>
    <w:p>
      <w:pPr>
        <w:spacing w:after="300"/>
        <w:jc w:val="center"/>
      </w:pPr>
      <w:r>
        <w:rPr>
          <w:rFonts w:ascii="Calibri" w:cs="Calibri" w:eastAsia="Calibri" w:hAnsi="Calibri"/>
          <w:b/>
          <w:bCs/>
          <w:color w:val="2F5496"/>
          <w:sz w:val="46"/>
          <w:szCs w:val="46"/>
        </w:rPr>
        <w:t xml:space="preserve">Incident Investigation Report</w:t>
      </w:r>
    </w:p>
    <w:p>
      <w:pPr>
        <w:spacing w:after="60"/>
        <w:jc w:val="center"/>
      </w:pPr>
      <w:r>
        <w:rPr>
          <w:rFonts w:ascii="Calibri" w:cs="Calibri" w:eastAsia="Calibri" w:hAnsi="Calibri"/>
          <w:b/>
          <w:bCs/>
          <w:color w:val="1A1A1A"/>
          <w:sz w:val="32"/>
          <w:szCs w:val="32"/>
        </w:rPr>
        <w:t xml:space="preserve">Contoso Financial</w:t>
      </w:r>
    </w:p>
    <w:p>
      <w:pPr>
        <w:spacing w:after="40"/>
        <w:jc w:val="center"/>
      </w:pPr>
      <w:r>
        <w:rPr>
          <w:rFonts w:ascii="Calibri" w:cs="Calibri" w:eastAsia="Calibri" w:hAnsi="Calibri"/>
          <w:color w:val="666666"/>
          <w:sz w:val="22"/>
          <w:szCs w:val="22"/>
        </w:rPr>
        <w:t xml:space="preserve">Primary M365 Domain: contoso.com</w:t>
      </w:r>
    </w:p>
    <w:p>
      <w:pPr>
        <w:spacing w:after="40"/>
        <w:jc w:val="center"/>
      </w:pPr>
      <w:r>
        <w:rPr>
          <w:rFonts w:ascii="Calibri" w:cs="Calibri" w:eastAsia="Calibri" w:hAnsi="Calibri"/>
          <w:color w:val="666666"/>
          <w:sz w:val="22"/>
          <w:szCs w:val="22"/>
        </w:rPr>
        <w:t xml:space="preserve">Report Date: September 29, 2025   |   Version 1.0</w:t>
      </w:r>
    </w:p>
    <w:p>
      <w:pPr>
        <w:spacing w:after="40"/>
        <w:jc w:val="center"/>
      </w:pPr>
      <w:r>
        <w:rPr>
          <w:rFonts w:ascii="Calibri" w:cs="Calibri" w:eastAsia="Calibri" w:hAnsi="Calibri"/>
          <w:color w:val="666666"/>
          <w:sz w:val="22"/>
          <w:szCs w:val="22"/>
        </w:rPr>
        <w:t xml:space="preserve">Incident Reference: BEC-2025-0908</w:t>
      </w:r>
    </w:p>
    <w:p>
      <w:pPr>
        <w:spacing w:before="400"/>
        <w:jc w:val="center"/>
      </w:pPr>
      <w:r>
        <w:rPr>
          <w:rFonts w:ascii="Calibri" w:cs="Calibri" w:eastAsia="Calibri" w:hAnsi="Calibri"/>
          <w:b/>
          <w:bCs/>
          <w:color w:val="666666"/>
          <w:sz w:val="20"/>
          <w:szCs w:val="20"/>
        </w:rPr>
        <w:t xml:space="preserve">CONFIDENTIAL</w:t>
      </w:r>
    </w:p>
    <w:p>
      <w:r>
        <w:br w:type="page"/>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Metadata</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880"/>
      </w:tblGrid>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Client / Organization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Contoso Financial</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Primary M365 Domain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contoso.com</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Prepared By</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Your Organization]</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Date</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Version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Classification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CONFIDENTIAL</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Reference ID</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BEC-2025-0908</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Distribution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[Named recipients only]</w:t>
            </w:r>
          </w:p>
        </w:tc>
      </w:tr>
    </w:tbl>
    <w:p>
      <w:pPr>
        <w:spacing w:after="120" w:before="80" w:line="264"/>
      </w:pPr>
      <w:r>
        <w:rPr>
          <w:rFonts w:ascii="Calibri" w:cs="Calibri" w:eastAsia="Calibri" w:hAnsi="Calibri"/>
          <w:b w:val="false"/>
          <w:bCs w:val="false"/>
          <w:i/>
          <w:iCs/>
          <w:color w:val="666666"/>
          <w:sz w:val="20"/>
          <w:szCs w:val="20"/>
        </w:rPr>
        <w:t xml:space="preserve">This report contains sensitive information. Handle according to the classification above. Do not distribute beyond the named recipients without authorization.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 Executive Summary</w:t>
      </w:r>
    </w:p>
    <w:p>
      <w:pPr>
        <w:pStyle w:val="Heading2"/>
        <w:keepNext/>
        <w:spacing w:after="80" w:before="180"/>
      </w:pPr>
      <w:r>
        <w:rPr>
          <w:rFonts w:ascii="Calibri" w:cs="Calibri" w:eastAsia="Calibri" w:hAnsi="Calibri"/>
          <w:b/>
          <w:bCs/>
          <w:color w:val="2F5496"/>
          <w:sz w:val="24"/>
          <w:szCs w:val="24"/>
        </w:rPr>
        <w:t xml:space="preserve">1.1 Summary of Incident</w:t>
      </w:r>
    </w:p>
    <w:p>
      <w:pPr>
        <w:spacing w:after="120" w:before="0" w:line="264"/>
      </w:pPr>
      <w:r>
        <w:rPr>
          <w:rFonts w:ascii="Calibri" w:cs="Calibri" w:eastAsia="Calibri" w:hAnsi="Calibri"/>
          <w:b w:val="false"/>
          <w:bCs w:val="false"/>
          <w:i w:val="false"/>
          <w:iCs w:val="false"/>
          <w:color w:val="1A1A1A"/>
          <w:sz w:val="22"/>
          <w:szCs w:val="22"/>
        </w:rPr>
        <w:t xml:space="preserve">On September 8, 2025, at approximately 16:39 UTC, an unauthorized third party accessed the Microsoft 365 account belonging to “betty20@contoso.com” at Contoso Financial from IP address 92.118.112.17 (Global Connectivity Solutions, Atlanta, Georgia; a hosting/data center provider). The initial sign-in exhibited adversary-in-the-middle (AiTM) characteristics, including a “Keep Me Signed In” (KMSI) interrupt and origination from hosting infrastructure. Within 15 minutes, the threat actor registered its own multi-factor authentication (MFA) method from 191.101.130.55 (Majestic Hosting Solutions, Dallas, Texas), establishing persistent access that survived password rotation alone.</w:t>
      </w:r>
    </w:p>
    <w:p>
      <w:pPr>
        <w:spacing w:after="120" w:before="0" w:line="264"/>
      </w:pPr>
      <w:r>
        <w:rPr>
          <w:rFonts w:ascii="Calibri" w:cs="Calibri" w:eastAsia="Calibri" w:hAnsi="Calibri"/>
          <w:b w:val="false"/>
          <w:bCs w:val="false"/>
          <w:i w:val="false"/>
          <w:iCs w:val="false"/>
          <w:color w:val="1A1A1A"/>
          <w:sz w:val="22"/>
          <w:szCs w:val="22"/>
        </w:rPr>
        <w:t xml:space="preserve">Over the following 21 days (September 8 through September 29, 2025), the threat actor maintained access from 39 unique hosting/VPS IP addresses, generating 1,570 mailbox audit events and reading or interacting with over 1,500 email items across 17 of the 21 days. On September 8, within minutes of compromise, the actor initiated Microsoft Teams sessions from hosting IPs. On September 11 at 22:07 UTC, the actor sent a fraudulent outbound message with three attachments. Between September 28 and 29, the actor accessed the accounting team’s SharePoint site, uploaded files to a list named “Morgan50 List New,” and downloaded a file from the user’s OneDrive.</w:t>
      </w:r>
    </w:p>
    <w:p>
      <w:pPr>
        <w:spacing w:after="120" w:before="0" w:line="264"/>
      </w:pPr>
      <w:r>
        <w:rPr>
          <w:rFonts w:ascii="Calibri" w:cs="Calibri" w:eastAsia="Calibri" w:hAnsi="Calibri"/>
          <w:b w:val="false"/>
          <w:bCs w:val="false"/>
          <w:i w:val="false"/>
          <w:iCs w:val="false"/>
          <w:color w:val="1A1A1A"/>
          <w:sz w:val="22"/>
          <w:szCs w:val="22"/>
        </w:rPr>
        <w:t xml:space="preserve">The threat actor created four malicious inbox rules, including a catch-all rule that moved all mail to RSS Feeds and two rules designed to intercept wire-transfer notifications from a specific sender (sanchez27@cruz297.example) by routing them to a hidden folder named “Morgan50,” matching the SharePoint list name. This is an attempted wire-fraud scheme linking mailbox rules to SharePoint infrastructure. An administrator (sandoval42@contoso.com) identified the compromise on September 29, disabled the account at 19:41 UTC, reset the password, revoked sessions and tokens, removed the unauthorized MFA registration at 20:03 UTC, and deleted the malicious rules. Wire-transfer-themed rules referencing the same external sender were also found on two additional accounts (green34@contoso.com and george26@contoso.com), indicating a coordinated, multi-account compromise.</w:t>
      </w:r>
    </w:p>
    <w:p>
      <w:pPr>
        <w:pStyle w:val="Heading2"/>
        <w:keepNext/>
        <w:spacing w:after="80" w:before="180"/>
      </w:pPr>
      <w:r>
        <w:rPr>
          <w:rFonts w:ascii="Calibri" w:cs="Calibri" w:eastAsia="Calibri" w:hAnsi="Calibri"/>
          <w:b/>
          <w:bCs/>
          <w:color w:val="2F5496"/>
          <w:sz w:val="24"/>
          <w:szCs w:val="24"/>
        </w:rPr>
        <w:t xml:space="preserve">1.2 Current Status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Status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Contained and Eradicated on betty20; two related accounts require investigation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Affected Accounts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 primary (betty20) confirmed; 2 related (green34, george26) with matching rules; 1 secondary identity (betty20.deborah51)</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Financial Loss (known)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confirmed; attempted wire fraud via interception rules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Data Exposure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 extensive mailbox reads (1,500+ items), SharePoint access, OneDrive download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Regulatory Notification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Likely applicable (financial institution); under review by counsel</w:t>
            </w:r>
          </w:p>
        </w:tc>
      </w:tr>
    </w:tbl>
    <w:p>
      <w:pPr>
        <w:pStyle w:val="Heading2"/>
        <w:keepNext/>
        <w:spacing w:after="80" w:before="180"/>
      </w:pPr>
      <w:r>
        <w:rPr>
          <w:rFonts w:ascii="Calibri" w:cs="Calibri" w:eastAsia="Calibri" w:hAnsi="Calibri"/>
          <w:b/>
          <w:bCs/>
          <w:color w:val="2F5496"/>
          <w:sz w:val="24"/>
          <w:szCs w:val="24"/>
        </w:rPr>
        <w:t xml:space="preserve">1.3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threat actor achieved 21 days of persistent access by registering its own MFA method within 15 minutes of an AiTM-style initial compromise, defeating password-only remediation.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An attempted wire-fraud scheme linked mailbox inbox rules and SharePoint: two rules intercepted wire-transfer notifications from sanchez27@cruz297.example into a hidden “Morgan50” folder matching a SharePoint list the actor modified.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actor read over 1,500 mailbox items across 17 days, accessed the accounting SharePoint site, downloaded from OneDrive, and initiated Teams sessions from hosting IPs.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Matching wire-transfer interception rules on green34@contoso.com and george26@contoso.com indicate the same threat actor compromised multiple accounts across the organization.</w:t>
      </w:r>
    </w:p>
    <w:p>
      <w:pPr>
        <w:pStyle w:val="Heading2"/>
        <w:keepNext/>
        <w:spacing w:after="80" w:before="180"/>
      </w:pPr>
      <w:r>
        <w:rPr>
          <w:rFonts w:ascii="Calibri" w:cs="Calibri" w:eastAsia="Calibri" w:hAnsi="Calibri"/>
          <w:b/>
          <w:bCs/>
          <w:color w:val="2F5496"/>
          <w:sz w:val="24"/>
          <w:szCs w:val="24"/>
        </w:rPr>
        <w:t xml:space="preserve">1.4 Priority Recommendations</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Investigate green34@contoso.com and george26@contoso.com immediately; both carry inbox rules consistent with the same threat actor.</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Deploy phishing-resistant MFA and restrict user MFA-method registration to prevent attacker-registered persistence.</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Review wire-transfer notifications intercepted by the “Morgan50” rules and verify no transactions were redirected or altered.</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2. Incident Overview</w:t>
      </w:r>
    </w:p>
    <w:p>
      <w:pPr>
        <w:pStyle w:val="Heading2"/>
        <w:keepNext/>
        <w:spacing w:after="80" w:before="180"/>
      </w:pPr>
      <w:r>
        <w:rPr>
          <w:rFonts w:ascii="Calibri" w:cs="Calibri" w:eastAsia="Calibri" w:hAnsi="Calibri"/>
          <w:b/>
          <w:bCs/>
          <w:color w:val="2F5496"/>
          <w:sz w:val="24"/>
          <w:szCs w:val="24"/>
        </w:rPr>
        <w:t xml:space="preserve">2.1 Incident Details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Business Email Compromise (BEC), attempted wire fraud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Sub-category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AiTM initial access; attacker-registered MFA persistence</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Initial Detection Date + Source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 administrator (sandoval42@contoso.com) discovery</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Estimated Initial Compromise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8, 2025, ~16:39 UTC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Containment Date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 19:41 UTC (account disabled)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Eradication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 (MFA removed 20:03 UTC; rules deleted)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Duration (dwell time)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~21 days (September 8–29,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Tenant Licensing Tier</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Supports mailbox auditing / MailItemsAccessed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Unified Audit Log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 (7,644 mailbox entries reviewed)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Mailbox Auditing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r>
    </w:tbl>
    <w:p>
      <w:pPr>
        <w:pStyle w:val="Heading2"/>
        <w:keepNext/>
        <w:spacing w:after="80" w:before="180"/>
      </w:pPr>
      <w:r>
        <w:rPr>
          <w:rFonts w:ascii="Calibri" w:cs="Calibri" w:eastAsia="Calibri" w:hAnsi="Calibri"/>
          <w:b/>
          <w:bCs/>
          <w:color w:val="2F5496"/>
          <w:sz w:val="24"/>
          <w:szCs w:val="24"/>
        </w:rPr>
        <w:t xml:space="preserve">2.2 Investigation Engagement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Requested By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contact, Contoso Financial]</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Engagement Started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Investigator(s)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Certifications], [Your Organization]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 (initial); related-account review ongoing</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Scope of Engagement</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Investigate unusual activity on betty20 in SharePoint and attempted wire fraud; scope compromise, persistence, data/SharePoint exposure, and related accounts.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Constraints / Limitations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Related accounts (green34, george26) require separate investigation; 21-day window spans significant audit volume.</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3. Scope and Impact</w:t>
      </w:r>
    </w:p>
    <w:p>
      <w:pPr>
        <w:pStyle w:val="Heading2"/>
        <w:keepNext/>
        <w:spacing w:after="80" w:before="180"/>
      </w:pPr>
      <w:r>
        <w:rPr>
          <w:rFonts w:ascii="Calibri" w:cs="Calibri" w:eastAsia="Calibri" w:hAnsi="Calibri"/>
          <w:b/>
          <w:bCs/>
          <w:color w:val="2F5496"/>
          <w:sz w:val="24"/>
          <w:szCs w:val="24"/>
        </w:rPr>
        <w:t xml:space="preserve">3.1 Affected User Accounts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1700"/>
        <w:gridCol w:w="1700"/>
        <w:gridCol w:w="3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User (UPN)</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Compromise Type</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Impact Summary</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betty20@contoso.com</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Accounting / finance user</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AiTM access; attacker MFA registration; 21-day dwell; SharePoint/Teams/OneDrive; wire-fraud rules.</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green34@contoso.com</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User</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Suspected (related)</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“MidCountry Bank” rules → Morgan50 folder; same sender pattern; set Sep 26 from 50.77.53.225.</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george26@contoso.com</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User</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Suspected (related)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“MidCountry Bank” rule; set Sep 5 from 184.83.255.228; same sender pattern.</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betty20.deborah51@contoso.com</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Secondary identity</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Suspected</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Used from 191.101.130.55 to access SharePoint; delegated/shared access.</w:t>
            </w:r>
          </w:p>
        </w:tc>
      </w:tr>
    </w:tbl>
    <w:p>
      <w:pPr>
        <w:pStyle w:val="Heading2"/>
        <w:keepNext/>
        <w:spacing w:after="80" w:before="180"/>
      </w:pPr>
      <w:r>
        <w:rPr>
          <w:rFonts w:ascii="Calibri" w:cs="Calibri" w:eastAsia="Calibri" w:hAnsi="Calibri"/>
          <w:b/>
          <w:bCs/>
          <w:color w:val="2F5496"/>
          <w:sz w:val="24"/>
          <w:szCs w:val="24"/>
        </w:rPr>
        <w:t xml:space="preserve">3.2 Financial Impact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5880"/>
      </w:tblGrid>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Confirmed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confirmed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Attempted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 wire-transfer interception rules staged redirection of notifications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Recovered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 (no confirmed transfer)</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Pending Recovery</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Business Disruption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Significant; 21-day multi-account incident at a financial institution</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Response &amp; Remediation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[To be completed by client]</w:t>
            </w:r>
          </w:p>
        </w:tc>
      </w:tr>
    </w:tbl>
    <w:p>
      <w:pPr>
        <w:pStyle w:val="Heading2"/>
        <w:keepNext/>
        <w:spacing w:after="80" w:before="180"/>
      </w:pPr>
      <w:r>
        <w:rPr>
          <w:rFonts w:ascii="Calibri" w:cs="Calibri" w:eastAsia="Calibri" w:hAnsi="Calibri"/>
          <w:b/>
          <w:bCs/>
          <w:color w:val="2F5496"/>
          <w:sz w:val="24"/>
          <w:szCs w:val="24"/>
        </w:rPr>
        <w:t xml:space="preserve">3.3 Data Exposure</w:t>
      </w:r>
    </w:p>
    <w:p>
      <w:pPr>
        <w:spacing w:after="120" w:before="0" w:line="264"/>
      </w:pPr>
      <w:r>
        <w:rPr>
          <w:rFonts w:ascii="Calibri" w:cs="Calibri" w:eastAsia="Calibri" w:hAnsi="Calibri"/>
          <w:b w:val="false"/>
          <w:bCs w:val="false"/>
          <w:i w:val="false"/>
          <w:iCs w:val="false"/>
          <w:color w:val="1A1A1A"/>
          <w:sz w:val="22"/>
          <w:szCs w:val="22"/>
        </w:rPr>
        <w:t xml:space="preserve">The threat actor read over 1,500 mailbox items across 17 days, accessed the accounting team’s SharePoint site (including a “Morgan50 List New” list), uploaded files there, and downloaded at least one file from the user’s OneDrive. Because this is a financial institution, accessed content may include sensitive financial and personal data. Detail is provided in Section 8.</w:t>
      </w:r>
    </w:p>
    <w:p>
      <w:pPr>
        <w:pStyle w:val="Heading2"/>
        <w:keepNext/>
        <w:spacing w:after="80" w:before="180"/>
      </w:pPr>
      <w:r>
        <w:rPr>
          <w:rFonts w:ascii="Calibri" w:cs="Calibri" w:eastAsia="Calibri" w:hAnsi="Calibri"/>
          <w:b/>
          <w:bCs/>
          <w:color w:val="2F5496"/>
          <w:sz w:val="24"/>
          <w:szCs w:val="24"/>
        </w:rPr>
        <w:t xml:space="preserve">3.4 Regulatory and Contractual Notification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2600"/>
        <w:gridCol w:w="4480"/>
      </w:tblGrid>
      <w:tr>
        <w:trPr>
          <w:tblHeader/>
        </w:trPr>
        <w:tc>
          <w:tcPr>
            <w:tcW w:type="dxa" w:w="3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Framework</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Preliminary Applicability</w:t>
            </w:r>
          </w:p>
        </w:tc>
        <w:tc>
          <w:tcPr>
            <w:tcW w:type="dxa" w:w="4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State Data Breach Laws</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Financial institution; assess regulated PII in accessed content.</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GLBA / Financial Regulatory</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Financial-institution data-protection obligations may apply.</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SEC Cybersecurity Disclosure</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Assess materiality with counsel.</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Contractual / Counterparty</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Wire-fraud target counterparties may warrant notification.</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Cyber Insurance</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should engage its carrier given attempted wire fraud.</w:t>
            </w:r>
          </w:p>
        </w:tc>
      </w:tr>
    </w:tbl>
    <w:p>
      <w:pPr>
        <w:spacing w:after="120" w:before="60" w:line="264"/>
      </w:pPr>
      <w:r>
        <w:rPr>
          <w:rFonts w:ascii="Calibri" w:cs="Calibri" w:eastAsia="Calibri" w:hAnsi="Calibri"/>
          <w:b w:val="false"/>
          <w:bCs w:val="false"/>
          <w:i/>
          <w:iCs/>
          <w:color w:val="666666"/>
          <w:sz w:val="20"/>
          <w:szCs w:val="20"/>
        </w:rPr>
        <w:t xml:space="preserve">Final legal determinations regarding notification obligations are the responsibility of the client and its counsel, not the investigator.</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4. Investigation Methodology</w:t>
      </w:r>
    </w:p>
    <w:p>
      <w:pPr>
        <w:pStyle w:val="Heading2"/>
        <w:keepNext/>
        <w:spacing w:after="80" w:before="180"/>
      </w:pPr>
      <w:r>
        <w:rPr>
          <w:rFonts w:ascii="Calibri" w:cs="Calibri" w:eastAsia="Calibri" w:hAnsi="Calibri"/>
          <w:b/>
          <w:bCs/>
          <w:color w:val="2F5496"/>
          <w:sz w:val="24"/>
          <w:szCs w:val="24"/>
        </w:rPr>
        <w:t xml:space="preserve">4.1 Investigation Approach</w:t>
      </w:r>
    </w:p>
    <w:p>
      <w:pPr>
        <w:spacing w:after="120" w:before="0" w:line="264"/>
      </w:pPr>
      <w:r>
        <w:rPr>
          <w:rFonts w:ascii="Calibri" w:cs="Calibri" w:eastAsia="Calibri" w:hAnsi="Calibri"/>
          <w:b w:val="false"/>
          <w:bCs w:val="false"/>
          <w:i w:val="false"/>
          <w:iCs w:val="false"/>
          <w:color w:val="1A1A1A"/>
          <w:sz w:val="22"/>
          <w:szCs w:val="22"/>
        </w:rPr>
        <w:t xml:space="preserve">The investigation followed a Microsoft 365 BEC playbook with iterative scope expansion. From the reported SharePoint activity and attempted wire fraud, the threat-actor infrastructure was characterized across 39 IP addresses and correlated across interactive sign-in logs, Entra ID audit logs, the Unified Audit Log (mailbox, SharePoint, Teams), and inbox-rule change logs to reconstruct a 21-day timeline.</w:t>
      </w:r>
    </w:p>
    <w:p>
      <w:pPr>
        <w:spacing w:after="120" w:before="0" w:line="264"/>
      </w:pPr>
      <w:r>
        <w:rPr>
          <w:rFonts w:ascii="Calibri" w:cs="Calibri" w:eastAsia="Calibri" w:hAnsi="Calibri"/>
          <w:b w:val="false"/>
          <w:bCs w:val="false"/>
          <w:i w:val="false"/>
          <w:iCs w:val="false"/>
          <w:color w:val="1A1A1A"/>
          <w:sz w:val="22"/>
          <w:szCs w:val="22"/>
        </w:rPr>
        <w:t xml:space="preserve">The distinctive “Morgan50” naming linked mailbox inbox rules to a SharePoint list, revealing a coordinated scheme. Inbox-rule review across the tenant surfaced matching rules on two additional accounts, expanding scope. Findings were validated by cross-referencing the same external sender (sanchez27@cruz297.example) and folder naming across accounts.</w:t>
      </w:r>
    </w:p>
    <w:p>
      <w:pPr>
        <w:pStyle w:val="Heading2"/>
        <w:keepNext/>
        <w:spacing w:after="80" w:before="180"/>
      </w:pPr>
      <w:r>
        <w:rPr>
          <w:rFonts w:ascii="Calibri" w:cs="Calibri" w:eastAsia="Calibri" w:hAnsi="Calibri"/>
          <w:b/>
          <w:bCs/>
          <w:color w:val="2F5496"/>
          <w:sz w:val="24"/>
          <w:szCs w:val="24"/>
        </w:rPr>
        <w:t xml:space="preserve">4.2 Evidence Sources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2400"/>
        <w:gridCol w:w="3480"/>
      </w:tblGrid>
      <w:tr>
        <w:trPr>
          <w:tblHeader/>
        </w:trPr>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Source</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Retention Period</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Collected (range)</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Interactive Sign-In Logs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Aug 29 – Sep 29, 2025 (391 account events; 39 TA IPs)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 22 – Sep 29, 2025 (82 betty20 entries)</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Unified Audit Log (Mailbox)</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 4 – Sep 29, 2025 (7,644 entries)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Unified Audit Log (by IP)</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 30 – Sep 29, 2025 (1,962 correlated entries)</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SharePoint / OneDrive Audit</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 28 – Sep 29, 2025 (60 events)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Logs (tenant)</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 4 – Sep 29, 2025</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Risk Detections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Collected Sep 29, 2025</w:t>
            </w:r>
          </w:p>
        </w:tc>
      </w:tr>
    </w:tbl>
    <w:p>
      <w:pPr>
        <w:pStyle w:val="Heading2"/>
        <w:keepNext/>
        <w:spacing w:after="80" w:before="180"/>
      </w:pPr>
      <w:r>
        <w:rPr>
          <w:rFonts w:ascii="Calibri" w:cs="Calibri" w:eastAsia="Calibri" w:hAnsi="Calibri"/>
          <w:b/>
          <w:bCs/>
          <w:color w:val="2F5496"/>
          <w:sz w:val="24"/>
          <w:szCs w:val="24"/>
        </w:rPr>
        <w:t xml:space="preserve">4.3 Tools and Scripts Used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M365IRScripts collection (https://github.com/bitpusher2k/M365IRScripts).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Graph PowerShell SDK.</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Exchange Online PowerShell module.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Defender and Purview portals (compliance search and purge).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IP reputation and enrichment services (GeoLite2, ipapi.is, Scamalytics, findip.net).</w:t>
      </w:r>
    </w:p>
    <w:p>
      <w:pPr>
        <w:pStyle w:val="Heading2"/>
        <w:keepNext/>
        <w:spacing w:after="80" w:before="180"/>
      </w:pPr>
      <w:r>
        <w:rPr>
          <w:rFonts w:ascii="Calibri" w:cs="Calibri" w:eastAsia="Calibri" w:hAnsi="Calibri"/>
          <w:b/>
          <w:bCs/>
          <w:color w:val="2F5496"/>
          <w:sz w:val="24"/>
          <w:szCs w:val="24"/>
        </w:rPr>
        <w:t xml:space="preserve">4.4 Chain of Custody and Evidence Handling</w:t>
      </w:r>
    </w:p>
    <w:p>
      <w:pPr>
        <w:spacing w:after="120" w:before="0" w:line="264"/>
      </w:pPr>
      <w:r>
        <w:rPr>
          <w:rFonts w:ascii="Calibri" w:cs="Calibri" w:eastAsia="Calibri" w:hAnsi="Calibri"/>
          <w:b w:val="false"/>
          <w:bCs w:val="false"/>
          <w:i w:val="false"/>
          <w:iCs w:val="false"/>
          <w:color w:val="1A1A1A"/>
          <w:sz w:val="22"/>
          <w:szCs w:val="22"/>
        </w:rPr>
        <w:t xml:space="preserve">Collected artifacts (CSV/JSON/TXT log exports and processed, IP-enriched workbooks) were retained in a restricted-access case folder limited to assigned investigators. Exports were preserved in their original form alongside processed copies, and file integrity was maintained through controlled, read-only handling of the source exports. Artifacts are retained per the engagement's retention terms.</w:t>
      </w:r>
    </w:p>
    <w:p>
      <w:pPr>
        <w:pStyle w:val="Heading2"/>
        <w:keepNext/>
        <w:spacing w:after="80" w:before="180"/>
      </w:pPr>
      <w:r>
        <w:rPr>
          <w:rFonts w:ascii="Calibri" w:cs="Calibri" w:eastAsia="Calibri" w:hAnsi="Calibri"/>
          <w:b/>
          <w:bCs/>
          <w:color w:val="2F5496"/>
          <w:sz w:val="24"/>
          <w:szCs w:val="24"/>
        </w:rPr>
        <w:t xml:space="preserve">4.5 Assumptions and Limitations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Green34 and george26 carry matching rules and are assessed as related compromises; full confirmation requires separate per-account investigation.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betty20.deborah51 secondary identity’s exact access model (delegated vs shared) requires further review.</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completed fraudulent transfer was evidenced within the tenant; downstream banking outcomes require confirmation with the client and counterparties.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Timestamps are in UTC.</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5. Timeline of Events</w:t>
      </w:r>
    </w:p>
    <w:p>
      <w:pPr>
        <w:spacing w:after="120" w:before="0" w:line="264"/>
      </w:pPr>
      <w:r>
        <w:rPr>
          <w:rFonts w:ascii="Calibri" w:cs="Calibri" w:eastAsia="Calibri" w:hAnsi="Calibri"/>
          <w:b w:val="false"/>
          <w:bCs w:val="false"/>
          <w:i/>
          <w:iCs/>
          <w:color w:val="666666"/>
          <w:sz w:val="20"/>
          <w:szCs w:val="20"/>
        </w:rPr>
        <w:t xml:space="preserve">All times are in UTC unless otherwise noted.</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350"/>
        <w:gridCol w:w="4400"/>
        <w:gridCol w:w="2380"/>
      </w:tblGrid>
      <w:tr>
        <w:trPr>
          <w:tblHeader/>
        </w:trPr>
        <w:tc>
          <w:tcPr>
            <w:tcW w:type="dxa" w:w="19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13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Actor</w:t>
            </w:r>
          </w:p>
        </w:tc>
        <w:tc>
          <w:tcPr>
            <w:tcW w:type="dxa" w:w="4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Event</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Evidence Source</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2025-09-05</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“MidCountry Bank” interception rule set on george26 from 184.83.255.228</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2025-09-08 16:39</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AiTM sign-in to betty20 from 92.118.112.17 (KMSI interrupt, hosting)</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2025-09-08 ~16:54</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Registered own MFA method from 191.101.130.55 (Majestic Hosting, Dallas)</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2025-09-08 16:48–17:26</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Initiated 4 Microsoft Teams sessions from 191.101.130.4, .55, and 143.244.49.45</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UAL (Teams)</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2025-09-11 22:06–22:07</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Composed and sent fraudulent outbound message with 3 attachments from 191.101.130.55</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UAL</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2025-09-08 to 09-29</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Read 1,500+ mailbox items across 17 days; created 4 malicious inbox rules</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UAL (1,570 events)</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2025-09-26</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“MidCountry Bank” rules set on green34 from 50.77.53.225 (Morgan50 folder)</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2025-09-28 to 09-29</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Accessed accounting SharePoint site; modified “Morgan50 List New”; downloaded from OneDrive</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SharePoint Audit (60 events)</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 19:41</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Administrator disabled betty20; reset password; revoked sessions/tokens</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 20:03</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Removed attacker-registered MFA method; deleted 4 malicious inbox rules</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 20:29</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Legitimate user re-registered own MFA method</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6. Technical Findings</w:t>
      </w:r>
    </w:p>
    <w:p>
      <w:pPr>
        <w:pStyle w:val="Heading2"/>
        <w:keepNext/>
        <w:spacing w:after="80" w:before="180"/>
      </w:pPr>
      <w:r>
        <w:rPr>
          <w:rFonts w:ascii="Calibri" w:cs="Calibri" w:eastAsia="Calibri" w:hAnsi="Calibri"/>
          <w:b/>
          <w:bCs/>
          <w:color w:val="2F5496"/>
          <w:sz w:val="24"/>
          <w:szCs w:val="24"/>
        </w:rPr>
        <w:t xml:space="preserve">6.1 Initial Access</w:t>
      </w:r>
    </w:p>
    <w:p>
      <w:pPr>
        <w:spacing w:after="120" w:before="0" w:line="264"/>
      </w:pPr>
      <w:r>
        <w:rPr>
          <w:rFonts w:ascii="Calibri" w:cs="Calibri" w:eastAsia="Calibri" w:hAnsi="Calibri"/>
          <w:b w:val="false"/>
          <w:bCs w:val="false"/>
          <w:i w:val="false"/>
          <w:iCs w:val="false"/>
          <w:color w:val="1A1A1A"/>
          <w:sz w:val="22"/>
          <w:szCs w:val="22"/>
        </w:rPr>
        <w:t xml:space="preserve">Initial access is assessed as adversary-in-the-middle (AiTM). The first sign-in on September 8 at 16:39 UTC originated from hosting infrastructure (92.118.112.17, Global Connectivity Solutions, Atlanta) and carried a KMSI interrupt, a fingerprint of token-capturing AiTM kits. The specific lure message was not recovered; the assessment rests on the sign-in characteristics and the immediate MFA-registration persistence action.</w:t>
      </w:r>
    </w:p>
    <w:p>
      <w:pPr>
        <w:pStyle w:val="Heading2"/>
        <w:keepNext/>
        <w:spacing w:after="80" w:before="180"/>
      </w:pPr>
      <w:r>
        <w:rPr>
          <w:rFonts w:ascii="Calibri" w:cs="Calibri" w:eastAsia="Calibri" w:hAnsi="Calibri"/>
          <w:b/>
          <w:bCs/>
          <w:color w:val="2F5496"/>
          <w:sz w:val="24"/>
          <w:szCs w:val="24"/>
        </w:rPr>
        <w:t xml:space="preserve">6.2 Authentication and Session Establishment</w:t>
      </w:r>
    </w:p>
    <w:p>
      <w:pPr>
        <w:spacing w:after="120" w:before="0" w:line="264"/>
      </w:pPr>
      <w:r>
        <w:rPr>
          <w:rFonts w:ascii="Calibri" w:cs="Calibri" w:eastAsia="Calibri" w:hAnsi="Calibri"/>
          <w:b w:val="false"/>
          <w:bCs w:val="false"/>
          <w:i w:val="false"/>
          <w:iCs w:val="false"/>
          <w:color w:val="1A1A1A"/>
          <w:sz w:val="22"/>
          <w:szCs w:val="22"/>
        </w:rPr>
        <w:t xml:space="preserve">The threat actor operated from 39 unique hosting/VPS IP addresses over 21 days, including 92.118.112.17 (Atlanta), 191.101.130.55 and 191.101.130.4 (Majestic Hosting, Dallas), and 143.244.49.45. Sign-ins were inconsistent with the user’s baseline and clustered on data center ASNs. The reuse of 191.101.130.55 across MFA registration, Teams sessions, the fraudulent send, and SharePoint access ties those actions to a single operator.</w:t>
      </w:r>
    </w:p>
    <w:p>
      <w:pPr>
        <w:pStyle w:val="Heading2"/>
        <w:keepNext/>
        <w:spacing w:after="80" w:before="180"/>
      </w:pPr>
      <w:r>
        <w:rPr>
          <w:rFonts w:ascii="Calibri" w:cs="Calibri" w:eastAsia="Calibri" w:hAnsi="Calibri"/>
          <w:b/>
          <w:bCs/>
          <w:color w:val="2F5496"/>
          <w:sz w:val="24"/>
          <w:szCs w:val="24"/>
        </w:rPr>
        <w:t xml:space="preserve">6.3 Persistence Mechanisms</w:t>
      </w:r>
    </w:p>
    <w:p>
      <w:pPr>
        <w:spacing w:after="120" w:before="0" w:line="264"/>
      </w:pPr>
      <w:r>
        <w:rPr>
          <w:rFonts w:ascii="Calibri" w:cs="Calibri" w:eastAsia="Calibri" w:hAnsi="Calibri"/>
          <w:b w:val="false"/>
          <w:bCs w:val="false"/>
          <w:i w:val="false"/>
          <w:iCs w:val="false"/>
          <w:color w:val="1A1A1A"/>
          <w:sz w:val="22"/>
          <w:szCs w:val="22"/>
        </w:rPr>
        <w:t xml:space="preserve">Persistence was robust and multi-layered, which is why password rotation alone would not have evicted the actor:</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Attacker-Registered MFA: the actor registered its own MFA method within ~15 minutes of initial access, surviving password reset alone.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Inbox Rules (4): a catch-all rule “...” moving all mail to RSS Feeds; “Outgoing Morgan50” and “Melissa27 Morgan50” intercepting wire-transfer notices from sanchez27@cruz297.example into a hidden “Morgan50” folder; plus an additional redirect rule.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Secondary Identity: betty20.deborah51@contoso.com used from 191.101.130.55 to reach SharePoint, indicating delegated or shared access.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Mail Forwarding: none identified (interception achieved via rules instead).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Tenant-Level Changes: none observed; persistence was account-scoped and replicated across multiple accounts.</w:t>
      </w:r>
    </w:p>
    <w:p>
      <w:pPr>
        <w:pStyle w:val="Heading2"/>
        <w:keepNext/>
        <w:spacing w:after="80" w:before="180"/>
      </w:pPr>
      <w:r>
        <w:rPr>
          <w:rFonts w:ascii="Calibri" w:cs="Calibri" w:eastAsia="Calibri" w:hAnsi="Calibri"/>
          <w:b/>
          <w:bCs/>
          <w:color w:val="2F5496"/>
          <w:sz w:val="24"/>
          <w:szCs w:val="24"/>
        </w:rPr>
        <w:t xml:space="preserve">6.4 Reconnaissance and Collection</w:t>
      </w:r>
    </w:p>
    <w:p>
      <w:pPr>
        <w:spacing w:after="120" w:before="0" w:line="264"/>
      </w:pPr>
      <w:r>
        <w:rPr>
          <w:rFonts w:ascii="Calibri" w:cs="Calibri" w:eastAsia="Calibri" w:hAnsi="Calibri"/>
          <w:b w:val="false"/>
          <w:bCs w:val="false"/>
          <w:i w:val="false"/>
          <w:iCs w:val="false"/>
          <w:color w:val="1A1A1A"/>
          <w:sz w:val="22"/>
          <w:szCs w:val="22"/>
        </w:rPr>
        <w:t xml:space="preserve">The threat actor conducted extensive reconnaissance: 1,570 mailbox audit events (1,568 Update/read events) across 17 of the 21 days, focused on financial correspondence. The actor accessed the accounting team’s SharePoint site (contoso.sharepoint.com/sites/Davis15/accountingteam), viewed and modified the “Morgan50 List New” list (60 SharePoint audit events), and downloaded at least one file from the user’s OneDrive.</w:t>
      </w:r>
    </w:p>
    <w:p>
      <w:pPr>
        <w:pStyle w:val="Heading2"/>
        <w:keepNext/>
        <w:spacing w:after="80" w:before="180"/>
      </w:pPr>
      <w:r>
        <w:rPr>
          <w:rFonts w:ascii="Calibri" w:cs="Calibri" w:eastAsia="Calibri" w:hAnsi="Calibri"/>
          <w:b/>
          <w:bCs/>
          <w:color w:val="2F5496"/>
          <w:sz w:val="24"/>
          <w:szCs w:val="24"/>
        </w:rPr>
        <w:t xml:space="preserve">6.5 Lateral Movement</w:t>
      </w:r>
    </w:p>
    <w:p>
      <w:pPr>
        <w:spacing w:after="120" w:before="0" w:line="264"/>
      </w:pPr>
      <w:r>
        <w:rPr>
          <w:rFonts w:ascii="Calibri" w:cs="Calibri" w:eastAsia="Calibri" w:hAnsi="Calibri"/>
          <w:b w:val="false"/>
          <w:bCs w:val="false"/>
          <w:i w:val="false"/>
          <w:iCs w:val="false"/>
          <w:color w:val="1A1A1A"/>
          <w:sz w:val="22"/>
          <w:szCs w:val="22"/>
        </w:rPr>
        <w:t xml:space="preserve">Lateral movement is evidenced by matching wire-transfer interception rules on two additional accounts (green34, george26) referencing the same external sender and “Morgan50” folder, and by use of the betty20.deborah51 secondary identity to reach SharePoint. Teams sessions were also initiated, providing an internal communication channel.</w:t>
      </w:r>
    </w:p>
    <w:p>
      <w:pPr>
        <w:pStyle w:val="Heading2"/>
        <w:keepNext/>
        <w:spacing w:after="80" w:before="180"/>
      </w:pPr>
      <w:r>
        <w:rPr>
          <w:rFonts w:ascii="Calibri" w:cs="Calibri" w:eastAsia="Calibri" w:hAnsi="Calibri"/>
          <w:b/>
          <w:bCs/>
          <w:color w:val="2F5496"/>
          <w:sz w:val="24"/>
          <w:szCs w:val="24"/>
        </w:rPr>
        <w:t xml:space="preserve">6.6 Exfiltration</w:t>
      </w:r>
    </w:p>
    <w:p>
      <w:pPr>
        <w:spacing w:after="120" w:before="0" w:line="264"/>
      </w:pPr>
      <w:r>
        <w:rPr>
          <w:rFonts w:ascii="Calibri" w:cs="Calibri" w:eastAsia="Calibri" w:hAnsi="Calibri"/>
          <w:b w:val="false"/>
          <w:bCs w:val="false"/>
          <w:i w:val="false"/>
          <w:iCs w:val="false"/>
          <w:color w:val="1A1A1A"/>
          <w:sz w:val="22"/>
          <w:szCs w:val="22"/>
        </w:rPr>
        <w:t xml:space="preserve">The threat actor downloaded at least one file from the user’s OneDrive and sent a fraudulent outbound message with three attachments on September 11. Bulk exfiltration beyond these actions was not conclusively evidenced, but extensive item-level reads mean substantial content was viewable.</w:t>
      </w:r>
    </w:p>
    <w:p>
      <w:pPr>
        <w:pStyle w:val="Heading2"/>
        <w:keepNext/>
        <w:spacing w:after="80" w:before="180"/>
      </w:pPr>
      <w:r>
        <w:rPr>
          <w:rFonts w:ascii="Calibri" w:cs="Calibri" w:eastAsia="Calibri" w:hAnsi="Calibri"/>
          <w:b/>
          <w:bCs/>
          <w:color w:val="2F5496"/>
          <w:sz w:val="24"/>
          <w:szCs w:val="24"/>
        </w:rPr>
        <w:t xml:space="preserve">6.7 Impact Actions</w:t>
      </w:r>
    </w:p>
    <w:p>
      <w:pPr>
        <w:spacing w:after="120" w:before="0" w:line="264"/>
      </w:pPr>
      <w:r>
        <w:rPr>
          <w:rFonts w:ascii="Calibri" w:cs="Calibri" w:eastAsia="Calibri" w:hAnsi="Calibri"/>
          <w:b w:val="false"/>
          <w:bCs w:val="false"/>
          <w:i w:val="false"/>
          <w:iCs w:val="false"/>
          <w:color w:val="1A1A1A"/>
          <w:sz w:val="22"/>
          <w:szCs w:val="22"/>
        </w:rPr>
        <w:t xml:space="preserve">The end objective was wire fraud. Two inbox rules were staged to intercept wire-transfer notifications from sanchez27@cruz297.example and hide them in a “Morgan50” folder, preventing the account holder from seeing legitimate wire communications while the actor manipulated the transaction. The “Morgan50” naming ties the mailbox rules to the SharePoint list the actor modified, indicating a coordinated scheme. No completed fraudulent transfer was confirmed within the tenant evidence; the attempt was staged and partially executed (fraudulent message sent September 11).</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7. Indicators of Compromise (IOCs)</w:t>
      </w:r>
    </w:p>
    <w:p>
      <w:pPr>
        <w:pStyle w:val="Heading2"/>
        <w:keepNext/>
        <w:spacing w:after="80" w:before="180"/>
      </w:pPr>
      <w:r>
        <w:rPr>
          <w:rFonts w:ascii="Calibri" w:cs="Calibri" w:eastAsia="Calibri" w:hAnsi="Calibri"/>
          <w:b/>
          <w:bCs/>
          <w:color w:val="2F5496"/>
          <w:sz w:val="24"/>
          <w:szCs w:val="24"/>
        </w:rPr>
        <w:t xml:space="preserve">7.1 Network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3700"/>
        <w:gridCol w:w="1900"/>
        <w:gridCol w:w="3080"/>
      </w:tblGrid>
      <w:tr>
        <w:trPr>
          <w:tblHeader/>
        </w:trPr>
        <w:tc>
          <w:tcPr>
            <w:tcW w:type="dxa" w:w="15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3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First Seen (UTC)</w:t>
            </w:r>
          </w:p>
        </w:tc>
        <w:tc>
          <w:tcPr>
            <w:tcW w:type="dxa" w:w="30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1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IPv4</w:t>
            </w:r>
          </w:p>
        </w:tc>
        <w:tc>
          <w:tcPr>
            <w:tcW w:type="dxa" w:w="37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92.118.112.17</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2025-09-08 16:39</w:t>
            </w:r>
          </w:p>
        </w:tc>
        <w:tc>
          <w:tcPr>
            <w:tcW w:type="dxa" w:w="3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Global Connectivity Solutions, Atlanta; initial AiTM access</w:t>
            </w:r>
          </w:p>
        </w:tc>
      </w:tr>
      <w:tr>
        <w:tc>
          <w:tcPr>
            <w:tcW w:type="dxa" w:w="1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IPv4</w:t>
            </w:r>
          </w:p>
        </w:tc>
        <w:tc>
          <w:tcPr>
            <w:tcW w:type="dxa" w:w="37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191.101.130.55</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2025-09-08</w:t>
            </w:r>
          </w:p>
        </w:tc>
        <w:tc>
          <w:tcPr>
            <w:tcW w:type="dxa" w:w="30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Majestic Hosting, Dallas; MFA reg, Teams, send, SharePoint</w:t>
            </w:r>
          </w:p>
        </w:tc>
      </w:tr>
      <w:tr>
        <w:tc>
          <w:tcPr>
            <w:tcW w:type="dxa" w:w="1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IPv4</w:t>
            </w:r>
          </w:p>
        </w:tc>
        <w:tc>
          <w:tcPr>
            <w:tcW w:type="dxa" w:w="37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191.101.130.4</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2025-09-08</w:t>
            </w:r>
          </w:p>
        </w:tc>
        <w:tc>
          <w:tcPr>
            <w:tcW w:type="dxa" w:w="3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Majestic Hosting; Teams session</w:t>
            </w:r>
          </w:p>
        </w:tc>
      </w:tr>
      <w:tr>
        <w:tc>
          <w:tcPr>
            <w:tcW w:type="dxa" w:w="1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IPv4</w:t>
            </w:r>
          </w:p>
        </w:tc>
        <w:tc>
          <w:tcPr>
            <w:tcW w:type="dxa" w:w="37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143.244.49.45</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2025-09-08</w:t>
            </w:r>
          </w:p>
        </w:tc>
        <w:tc>
          <w:tcPr>
            <w:tcW w:type="dxa" w:w="30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Hosting; Teams session</w:t>
            </w:r>
          </w:p>
        </w:tc>
      </w:tr>
      <w:tr>
        <w:tc>
          <w:tcPr>
            <w:tcW w:type="dxa" w:w="1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IPv4</w:t>
            </w:r>
          </w:p>
        </w:tc>
        <w:tc>
          <w:tcPr>
            <w:tcW w:type="dxa" w:w="37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50.77.53.225</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2025-09-26</w:t>
            </w:r>
          </w:p>
        </w:tc>
        <w:tc>
          <w:tcPr>
            <w:tcW w:type="dxa" w:w="3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Rule-set source on green34</w:t>
            </w:r>
          </w:p>
        </w:tc>
      </w:tr>
      <w:tr>
        <w:tc>
          <w:tcPr>
            <w:tcW w:type="dxa" w:w="1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IPv4</w:t>
            </w:r>
          </w:p>
        </w:tc>
        <w:tc>
          <w:tcPr>
            <w:tcW w:type="dxa" w:w="37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184.83.255.228</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2025-09-05</w:t>
            </w:r>
          </w:p>
        </w:tc>
        <w:tc>
          <w:tcPr>
            <w:tcW w:type="dxa" w:w="30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Rule-set source on george26</w:t>
            </w:r>
          </w:p>
        </w:tc>
      </w:tr>
    </w:tbl>
    <w:p>
      <w:pPr>
        <w:pStyle w:val="Heading2"/>
        <w:keepNext/>
        <w:spacing w:after="80" w:before="180"/>
      </w:pPr>
      <w:r>
        <w:rPr>
          <w:rFonts w:ascii="Calibri" w:cs="Calibri" w:eastAsia="Calibri" w:hAnsi="Calibri"/>
          <w:b/>
          <w:bCs/>
          <w:color w:val="2F5496"/>
          <w:sz w:val="24"/>
          <w:szCs w:val="24"/>
        </w:rPr>
        <w:t xml:space="preserve">7.2 Identity and Session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4200"/>
        <w:gridCol w:w="3480"/>
      </w:tblGrid>
      <w:tr>
        <w:trPr>
          <w:tblHeader/>
        </w:trPr>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Secondary Identity</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betty20.deborah51@contoso.com</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Used from 191.101.130.55 to access SharePoint</w:t>
            </w:r>
          </w:p>
        </w:tc>
      </w:tr>
      <w:tr>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Persistence Action</w:t>
            </w:r>
          </w:p>
        </w:tc>
        <w:tc>
          <w:tcPr>
            <w:tcW w:type="dxa" w:w="42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Attacker MFA registration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Registered ~16:54 UTC, Sep 8; removed 20:03 UTC, Sep 29</w:t>
            </w:r>
          </w:p>
        </w:tc>
      </w:tr>
    </w:tbl>
    <w:p>
      <w:pPr>
        <w:pStyle w:val="Heading2"/>
        <w:keepNext/>
        <w:spacing w:after="80" w:before="180"/>
      </w:pPr>
      <w:r>
        <w:rPr>
          <w:rFonts w:ascii="Calibri" w:cs="Calibri" w:eastAsia="Calibri" w:hAnsi="Calibri"/>
          <w:b/>
          <w:bCs/>
          <w:color w:val="2F5496"/>
          <w:sz w:val="24"/>
          <w:szCs w:val="24"/>
        </w:rPr>
        <w:t xml:space="preserve">7.3 Email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4600"/>
        <w:gridCol w:w="3280"/>
      </w:tblGrid>
      <w:tr>
        <w:trPr>
          <w:tblHeader/>
        </w:trPr>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Field</w:t>
            </w:r>
          </w:p>
        </w:tc>
        <w:tc>
          <w:tcPr>
            <w:tcW w:type="dxa" w:w="4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Value</w:t>
            </w:r>
          </w:p>
        </w:tc>
        <w:tc>
          <w:tcPr>
            <w:tcW w:type="dxa" w:w="32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External Sender</w:t>
            </w:r>
          </w:p>
        </w:tc>
        <w:tc>
          <w:tcPr>
            <w:tcW w:type="dxa" w:w="4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sanchez27@cruz297.example</w:t>
            </w:r>
          </w:p>
        </w:tc>
        <w:tc>
          <w:tcPr>
            <w:tcW w:type="dxa" w:w="32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Wire-transfer sender targeted by interception rules across 3 accounts</w:t>
            </w:r>
          </w:p>
        </w:tc>
      </w:tr>
      <w:tr>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Outbound</w:t>
            </w:r>
          </w:p>
        </w:tc>
        <w:tc>
          <w:tcPr>
            <w:tcW w:type="dxa" w:w="4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Fraudulent message with 3 attachments</w:t>
            </w:r>
          </w:p>
        </w:tc>
        <w:tc>
          <w:tcPr>
            <w:tcW w:type="dxa" w:w="32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Sent 2025-09-11 22:07 UTC from 191.101.130.55</w:t>
            </w:r>
          </w:p>
        </w:tc>
      </w:tr>
    </w:tbl>
    <w:p>
      <w:pPr>
        <w:pStyle w:val="Heading2"/>
        <w:keepNext/>
        <w:spacing w:after="80" w:before="180"/>
      </w:pPr>
      <w:r>
        <w:rPr>
          <w:rFonts w:ascii="Calibri" w:cs="Calibri" w:eastAsia="Calibri" w:hAnsi="Calibri"/>
          <w:b/>
          <w:bCs/>
          <w:color w:val="2F5496"/>
          <w:sz w:val="24"/>
          <w:szCs w:val="24"/>
        </w:rPr>
        <w:t xml:space="preserve">7.4 Application and Persistence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4200"/>
        <w:gridCol w:w="3480"/>
      </w:tblGrid>
      <w:tr>
        <w:trPr>
          <w:tblHeader/>
        </w:trPr>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 → RSS Feeds (catch-all)</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Concealment on betty20</w:t>
            </w:r>
          </w:p>
        </w:tc>
      </w:tr>
      <w:tr>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w:t>
            </w:r>
          </w:p>
        </w:tc>
        <w:tc>
          <w:tcPr>
            <w:tcW w:type="dxa" w:w="42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“Outgoing Morgan50”</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Intercepts wire-transfer notices → Morgan50 folder</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“Melissa27 Morgan50”</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Intercepts wire-transfer notices → Morgan50 folder</w:t>
            </w:r>
          </w:p>
        </w:tc>
      </w:tr>
      <w:tr>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w:t>
            </w:r>
          </w:p>
        </w:tc>
        <w:tc>
          <w:tcPr>
            <w:tcW w:type="dxa" w:w="42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“MidCountry Bank” / “MidCountry Bank (1)”</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On green34 and george26; same sender/folder pattern</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SharePoint List</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“Morgan50 List New”</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Accessed/modified on accounting site; ties rules to SharePoint</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8. Data Exposure Assessment</w:t>
      </w:r>
    </w:p>
    <w:p>
      <w:pPr>
        <w:pStyle w:val="Heading2"/>
        <w:keepNext/>
        <w:spacing w:after="80" w:before="180"/>
      </w:pPr>
      <w:r>
        <w:rPr>
          <w:rFonts w:ascii="Calibri" w:cs="Calibri" w:eastAsia="Calibri" w:hAnsi="Calibri"/>
          <w:b/>
          <w:bCs/>
          <w:color w:val="2F5496"/>
          <w:sz w:val="24"/>
          <w:szCs w:val="24"/>
        </w:rPr>
        <w:t xml:space="preserve">8.1 Methodology</w:t>
      </w:r>
    </w:p>
    <w:p>
      <w:pPr>
        <w:spacing w:after="120" w:before="0" w:line="264"/>
      </w:pPr>
      <w:r>
        <w:rPr>
          <w:rFonts w:ascii="Calibri" w:cs="Calibri" w:eastAsia="Calibri" w:hAnsi="Calibri"/>
          <w:b w:val="false"/>
          <w:bCs w:val="false"/>
          <w:i w:val="false"/>
          <w:iCs w:val="false"/>
          <w:color w:val="1A1A1A"/>
          <w:sz w:val="22"/>
          <w:szCs w:val="22"/>
        </w:rPr>
        <w:t xml:space="preserve">Exposure was assessed from 7,644 mailbox UAL entries, 60 SharePoint/OneDrive audit events, and correlation to threat-actor IPs. Item-level read events, SharePoint list activity, and the OneDrive download were directly observable.</w:t>
      </w:r>
    </w:p>
    <w:p>
      <w:pPr>
        <w:pStyle w:val="Heading2"/>
        <w:keepNext/>
        <w:spacing w:after="80" w:before="180"/>
      </w:pPr>
      <w:r>
        <w:rPr>
          <w:rFonts w:ascii="Calibri" w:cs="Calibri" w:eastAsia="Calibri" w:hAnsi="Calibri"/>
          <w:b/>
          <w:bCs/>
          <w:color w:val="2F5496"/>
          <w:sz w:val="24"/>
          <w:szCs w:val="24"/>
        </w:rPr>
        <w:t xml:space="preserve">8.2 Mailbox Content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1900"/>
        <w:gridCol w:w="2400"/>
        <w:gridCol w:w="2380"/>
      </w:tblGrid>
      <w:tr>
        <w:trPr>
          <w:tblHeader/>
        </w:trPr>
        <w:tc>
          <w:tcPr>
            <w:tcW w:type="dxa" w:w="28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Affected User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Messages Accessed</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 Window</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Content Categories</w:t>
            </w:r>
          </w:p>
        </w:tc>
      </w:tr>
      <w:tr>
        <w:tc>
          <w:tcPr>
            <w:tcW w:type="dxa" w:w="28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betty20@contoso.com</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1,500+ items (1,568 read events)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 8–29 (17 of 21 days)</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Financial correspondence; wire-transfer threads</w:t>
            </w:r>
          </w:p>
        </w:tc>
      </w:tr>
    </w:tbl>
    <w:p>
      <w:pPr>
        <w:pStyle w:val="Heading2"/>
        <w:keepNext/>
        <w:spacing w:after="80" w:before="180"/>
      </w:pPr>
      <w:r>
        <w:rPr>
          <w:rFonts w:ascii="Calibri" w:cs="Calibri" w:eastAsia="Calibri" w:hAnsi="Calibri"/>
          <w:b/>
          <w:bCs/>
          <w:color w:val="2F5496"/>
          <w:sz w:val="24"/>
          <w:szCs w:val="24"/>
        </w:rPr>
        <w:t xml:space="preserve">8.3 File and Document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900"/>
        <w:gridCol w:w="2400"/>
        <w:gridCol w:w="2780"/>
      </w:tblGrid>
      <w:tr>
        <w:trPr>
          <w:tblHeader/>
        </w:trPr>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Source</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Files Accessed</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 Window</w:t>
            </w:r>
          </w:p>
        </w:tc>
        <w:tc>
          <w:tcPr>
            <w:tcW w:type="dxa" w:w="27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Content Categories</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SharePoint, accountingteam site</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“Morgan50 List New” list (viewed, uploaded, modified)</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 28–29</w:t>
            </w:r>
          </w:p>
        </w:tc>
        <w:tc>
          <w:tcPr>
            <w:tcW w:type="dxa" w:w="27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Accounting/financial list data</w:t>
            </w:r>
          </w:p>
        </w:tc>
      </w:tr>
      <w:tr>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OneDrive, betty20</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 file downloaded</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 28–29</w:t>
            </w:r>
          </w:p>
        </w:tc>
        <w:tc>
          <w:tcPr>
            <w:tcW w:type="dxa" w:w="27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User file contents</w:t>
            </w:r>
          </w:p>
        </w:tc>
      </w:tr>
    </w:tbl>
    <w:p>
      <w:pPr>
        <w:pStyle w:val="Heading2"/>
        <w:keepNext/>
        <w:spacing w:after="80" w:before="180"/>
      </w:pPr>
      <w:r>
        <w:rPr>
          <w:rFonts w:ascii="Calibri" w:cs="Calibri" w:eastAsia="Calibri" w:hAnsi="Calibri"/>
          <w:b/>
          <w:bCs/>
          <w:color w:val="2F5496"/>
          <w:sz w:val="24"/>
          <w:szCs w:val="24"/>
        </w:rPr>
        <w:t xml:space="preserve">8.4 Regulatory-Significant Data Categories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Category</w:t>
            </w:r>
          </w:p>
        </w:tc>
        <w:tc>
          <w:tcPr>
            <w:tcW w:type="dxa" w:w="6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Finding</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Financial Account Info</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Likely accessed; financial institution mailbox and accounting SharePoint.</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PII</w:t>
            </w:r>
          </w:p>
        </w:tc>
        <w:tc>
          <w:tcPr>
            <w:tcW w:type="dxa" w:w="6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Likely present in accessed correspondence and lists; under review.</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Attorney-Client Privileged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PHI / PCI</w:t>
            </w:r>
          </w:p>
        </w:tc>
        <w:tc>
          <w:tcPr>
            <w:tcW w:type="dxa" w:w="6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r>
    </w:tbl>
    <w:p>
      <w:pPr>
        <w:pStyle w:val="Heading2"/>
        <w:keepNext/>
        <w:spacing w:after="80" w:before="180"/>
      </w:pPr>
      <w:r>
        <w:rPr>
          <w:rFonts w:ascii="Calibri" w:cs="Calibri" w:eastAsia="Calibri" w:hAnsi="Calibri"/>
          <w:b/>
          <w:bCs/>
          <w:color w:val="2F5496"/>
          <w:sz w:val="24"/>
          <w:szCs w:val="24"/>
        </w:rPr>
        <w:t xml:space="preserve">8.5 Exposure Determination</w:t>
      </w:r>
    </w:p>
    <w:p>
      <w:pPr>
        <w:spacing w:after="120" w:before="0" w:line="264"/>
      </w:pPr>
      <w:r>
        <w:rPr>
          <w:rFonts w:ascii="Calibri" w:cs="Calibri" w:eastAsia="Calibri" w:hAnsi="Calibri"/>
          <w:b w:val="false"/>
          <w:bCs w:val="false"/>
          <w:i w:val="false"/>
          <w:iCs w:val="false"/>
          <w:color w:val="1A1A1A"/>
          <w:sz w:val="22"/>
          <w:szCs w:val="22"/>
        </w:rPr>
        <w:t xml:space="preserve">Extensive mailbox reads and SharePoint/OneDrive access are confirmed by direct log evidence. Given the financial-institution context and the wire-fraud objective, accessed content is treated as likely to include regulated financial data. Specific record-level determinations are for the client and counsel. This is a confirmed data-access incident, distinct from the “not evidenced” findings in less severe scenarios.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9. Root Cause Analysis</w:t>
      </w:r>
    </w:p>
    <w:p>
      <w:pPr>
        <w:pStyle w:val="Heading2"/>
        <w:keepNext/>
        <w:spacing w:after="80" w:before="180"/>
      </w:pPr>
      <w:r>
        <w:rPr>
          <w:rFonts w:ascii="Calibri" w:cs="Calibri" w:eastAsia="Calibri" w:hAnsi="Calibri"/>
          <w:b/>
          <w:bCs/>
          <w:color w:val="2F5496"/>
          <w:sz w:val="24"/>
          <w:szCs w:val="24"/>
        </w:rPr>
        <w:t xml:space="preserve">9.1 Primary Root Cause</w:t>
      </w:r>
    </w:p>
    <w:p>
      <w:pPr>
        <w:spacing w:after="120" w:before="0" w:line="264"/>
      </w:pPr>
      <w:r>
        <w:rPr>
          <w:rFonts w:ascii="Calibri" w:cs="Calibri" w:eastAsia="Calibri" w:hAnsi="Calibri"/>
          <w:b w:val="false"/>
          <w:bCs w:val="false"/>
          <w:i w:val="false"/>
          <w:iCs w:val="false"/>
          <w:color w:val="1A1A1A"/>
          <w:sz w:val="22"/>
          <w:szCs w:val="22"/>
        </w:rPr>
        <w:t xml:space="preserve">The primary root cause was AiTM credential-and-token theft followed by attacker registration of a new MFA method, which converted a single compromised session into 21 days of durable, MFA-backed access that password rotation alone could not evict.</w:t>
      </w:r>
    </w:p>
    <w:p>
      <w:pPr>
        <w:pStyle w:val="Heading2"/>
        <w:keepNext/>
        <w:spacing w:after="80" w:before="180"/>
      </w:pPr>
      <w:r>
        <w:rPr>
          <w:rFonts w:ascii="Calibri" w:cs="Calibri" w:eastAsia="Calibri" w:hAnsi="Calibri"/>
          <w:b/>
          <w:bCs/>
          <w:color w:val="2F5496"/>
          <w:sz w:val="24"/>
          <w:szCs w:val="24"/>
        </w:rPr>
        <w:t xml:space="preserve">9.2 Contributing Factors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phishing-resistant MFA and no restriction on user MFA-method registration, allowing the attacker to self-enroll a factor.</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Conditional Access blocking hosting/VPS ASNs, despite 39 data center IPs over three weeks.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alerting on new MFA registration, inbox-rule creation, or SharePoint access from anomalous IPs.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Multiple accounts shared the same weakness, enabling a coordinated multi-account scheme.</w:t>
      </w:r>
    </w:p>
    <w:p>
      <w:pPr>
        <w:pStyle w:val="Heading2"/>
        <w:keepNext/>
        <w:spacing w:after="80" w:before="180"/>
      </w:pPr>
      <w:r>
        <w:rPr>
          <w:rFonts w:ascii="Calibri" w:cs="Calibri" w:eastAsia="Calibri" w:hAnsi="Calibri"/>
          <w:b/>
          <w:bCs/>
          <w:color w:val="2F5496"/>
          <w:sz w:val="24"/>
          <w:szCs w:val="24"/>
        </w:rPr>
        <w:t xml:space="preserve">9.3 Detection Gaps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 21-day dwell time indicates no effective anomaly detection on sign-ins, MFA changes, or mailbox rules.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catch-all and interception rules specifically suppressed user-side visibility of wire communications.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Detection ultimately came from an administrator noticing SharePoint anomalies, not from tooling.</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10. Containment, Eradication, and Recovery</w:t>
      </w:r>
    </w:p>
    <w:p>
      <w:pPr>
        <w:pStyle w:val="Heading2"/>
        <w:keepNext/>
        <w:spacing w:after="80" w:before="180"/>
      </w:pPr>
      <w:r>
        <w:rPr>
          <w:rFonts w:ascii="Calibri" w:cs="Calibri" w:eastAsia="Calibri" w:hAnsi="Calibri"/>
          <w:b/>
          <w:bCs/>
          <w:color w:val="2F5496"/>
          <w:sz w:val="24"/>
          <w:szCs w:val="24"/>
        </w:rPr>
        <w:t xml:space="preserve">10.1 Containment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 19:41</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Administrator disabled betty20; reset password; revoked sessions/tokens</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bl>
    <w:p>
      <w:pPr>
        <w:pStyle w:val="Heading2"/>
        <w:keepNext/>
        <w:spacing w:after="80" w:before="180"/>
      </w:pPr>
      <w:r>
        <w:rPr>
          <w:rFonts w:ascii="Calibri" w:cs="Calibri" w:eastAsia="Calibri" w:hAnsi="Calibri"/>
          <w:b/>
          <w:bCs/>
          <w:color w:val="2F5496"/>
          <w:sz w:val="24"/>
          <w:szCs w:val="24"/>
        </w:rPr>
        <w:t xml:space="preserve">10.2 Eradication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 20:03</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Removed attacker-registered MFA method</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 20:03</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Deleted 4 malicious inbox rules (catch-all + wire interception)</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Flagged green34 and george26 matching rules for removal and investigation</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w:t>
            </w:r>
          </w:p>
        </w:tc>
      </w:tr>
    </w:tbl>
    <w:p>
      <w:pPr>
        <w:pStyle w:val="Heading2"/>
        <w:keepNext/>
        <w:spacing w:after="80" w:before="180"/>
      </w:pPr>
      <w:r>
        <w:rPr>
          <w:rFonts w:ascii="Calibri" w:cs="Calibri" w:eastAsia="Calibri" w:hAnsi="Calibri"/>
          <w:b/>
          <w:bCs/>
          <w:color w:val="2F5496"/>
          <w:sz w:val="24"/>
          <w:szCs w:val="24"/>
        </w:rPr>
        <w:t xml:space="preserve">10.3 Recovery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 20:29</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Legitimate user re-registered own MFA method</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Identified fraudulent outbound message and recipients for notification</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UAL / Message Trace</w:t>
            </w:r>
          </w:p>
        </w:tc>
      </w:tr>
    </w:tbl>
    <w:p>
      <w:pPr>
        <w:pStyle w:val="Heading2"/>
        <w:keepNext/>
        <w:spacing w:after="80" w:before="180"/>
      </w:pPr>
      <w:r>
        <w:rPr>
          <w:rFonts w:ascii="Calibri" w:cs="Calibri" w:eastAsia="Calibri" w:hAnsi="Calibri"/>
          <w:b/>
          <w:bCs/>
          <w:color w:val="2F5496"/>
          <w:sz w:val="24"/>
          <w:szCs w:val="24"/>
        </w:rPr>
        <w:t xml:space="preserve">10.4 Post-Remediation Verification</w:t>
      </w:r>
    </w:p>
    <w:p>
      <w:pPr>
        <w:spacing w:after="120" w:before="0" w:line="264"/>
      </w:pPr>
      <w:r>
        <w:rPr>
          <w:rFonts w:ascii="Calibri" w:cs="Calibri" w:eastAsia="Calibri" w:hAnsi="Calibri"/>
          <w:b w:val="false"/>
          <w:bCs w:val="false"/>
          <w:i w:val="false"/>
          <w:iCs w:val="false"/>
          <w:color w:val="1A1A1A"/>
          <w:sz w:val="22"/>
          <w:szCs w:val="22"/>
        </w:rPr>
        <w:t xml:space="preserve">Post-remediation verification confirmed removal of the attacker MFA method and the four inbox rules on betty20 and re-registration of the legitimate MFA method. Verification is not complete for the related accounts (green34, george26) or the secondary identity (betty20.deborah51), which require separate investigation and are tracked as immediate follow-ups.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11. Recommendations</w:t>
      </w:r>
    </w:p>
    <w:p>
      <w:pPr>
        <w:pStyle w:val="Heading2"/>
        <w:keepNext/>
        <w:spacing w:after="80" w:before="180"/>
      </w:pPr>
      <w:r>
        <w:rPr>
          <w:rFonts w:ascii="Calibri" w:cs="Calibri" w:eastAsia="Calibri" w:hAnsi="Calibri"/>
          <w:b/>
          <w:bCs/>
          <w:color w:val="2F5496"/>
          <w:sz w:val="24"/>
          <w:szCs w:val="24"/>
        </w:rPr>
        <w:t xml:space="preserve">11.1 Immediate (within 7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Investigate and remediate green34@contoso.com and george26@contoso.com; both carry matching wire-interception rules.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Investigate the betty20.deborah51 secondary identity and its delegated/shared access.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Review all wire-transfer notifications intercepted by the “Morgan50” rules; verify no transactions were redirected or altered, and notify affected counterparties.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Contact recipients of the September 11 fraudulent message and advise them the attachments/content may be fraudulent.</w:t>
      </w:r>
    </w:p>
    <w:p>
      <w:pPr>
        <w:pStyle w:val="Heading2"/>
        <w:keepNext/>
        <w:spacing w:after="80" w:before="180"/>
      </w:pPr>
      <w:r>
        <w:rPr>
          <w:rFonts w:ascii="Calibri" w:cs="Calibri" w:eastAsia="Calibri" w:hAnsi="Calibri"/>
          <w:b/>
          <w:bCs/>
          <w:color w:val="2F5496"/>
          <w:sz w:val="24"/>
          <w:szCs w:val="24"/>
        </w:rPr>
        <w:t xml:space="preserve">11.2 Short-Term (within 30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Restrict user MFA-method registration (require admin approval or step-up) to prevent attacker self-enrollment.</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Deploy Conditional Access to block hosting/VPS ASNs and challenge anomalous sign-ins.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Enable alerting on new MFA registration, inbox-rule creation, and SharePoint access from anomalous IPs.</w:t>
      </w:r>
    </w:p>
    <w:p>
      <w:pPr>
        <w:pStyle w:val="Heading2"/>
        <w:keepNext/>
        <w:spacing w:after="80" w:before="180"/>
      </w:pPr>
      <w:r>
        <w:rPr>
          <w:rFonts w:ascii="Calibri" w:cs="Calibri" w:eastAsia="Calibri" w:hAnsi="Calibri"/>
          <w:b/>
          <w:bCs/>
          <w:color w:val="2F5496"/>
          <w:sz w:val="24"/>
          <w:szCs w:val="24"/>
        </w:rPr>
        <w:t xml:space="preserve">11.3 Medium-Term (within 90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Roll out phishing-resistant MFA (FIDO2) for finance and privileged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Implement token protection (token binding) via Conditional Access where supported.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Review SharePoint permissions and access to financial document libraries.</w:t>
      </w:r>
    </w:p>
    <w:p>
      <w:pPr>
        <w:pStyle w:val="Heading2"/>
        <w:keepNext/>
        <w:spacing w:after="80" w:before="180"/>
      </w:pPr>
      <w:r>
        <w:rPr>
          <w:rFonts w:ascii="Calibri" w:cs="Calibri" w:eastAsia="Calibri" w:hAnsi="Calibri"/>
          <w:b/>
          <w:bCs/>
          <w:color w:val="2F5496"/>
          <w:sz w:val="24"/>
          <w:szCs w:val="24"/>
        </w:rPr>
        <w:t xml:space="preserve">11.4 Strategic (longer-term posture)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Given the financial-institution context, adopt continuous monitoring (managed SOC / co-managed SIEM) to eliminate multi-week dwell times.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Institute out-of-band verification for all wire-transfer changes and periodic Conditional Access / role reviews.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12. Lessons Learned</w:t>
      </w:r>
    </w:p>
    <w:p>
      <w:pPr>
        <w:pStyle w:val="Heading2"/>
        <w:keepNext/>
        <w:spacing w:after="80" w:before="180"/>
      </w:pPr>
      <w:r>
        <w:rPr>
          <w:rFonts w:ascii="Calibri" w:cs="Calibri" w:eastAsia="Calibri" w:hAnsi="Calibri"/>
          <w:b/>
          <w:bCs/>
          <w:color w:val="2F5496"/>
          <w:sz w:val="24"/>
          <w:szCs w:val="24"/>
        </w:rPr>
        <w:t xml:space="preserve">12.1 What Worked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Once identified, the administrator executed correct, complete containment on betty20 (disable, reset, revoke, remove attacker MFA, delete rules) in under an hour.</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distinctive “Morgan50” naming was used to link mailbox rules to SharePoint and to surface the related accounts, expanding scope correctly.</w:t>
      </w:r>
    </w:p>
    <w:p>
      <w:pPr>
        <w:pStyle w:val="Heading2"/>
        <w:keepNext/>
        <w:spacing w:after="80" w:before="180"/>
      </w:pPr>
      <w:r>
        <w:rPr>
          <w:rFonts w:ascii="Calibri" w:cs="Calibri" w:eastAsia="Calibri" w:hAnsi="Calibri"/>
          <w:b/>
          <w:bCs/>
          <w:color w:val="2F5496"/>
          <w:sz w:val="24"/>
          <w:szCs w:val="24"/>
        </w:rPr>
        <w:t xml:space="preserve">12.2 What Did Not Work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 21-day dwell time reflects an absence of anomaly detection on sign-ins, MFA changes, and mailbox rules.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Attacker MFA self-registration was possible and defeated password-only thinking.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scheme spanned multiple accounts before anyone noticed.</w:t>
      </w:r>
    </w:p>
    <w:p>
      <w:pPr>
        <w:pStyle w:val="Heading2"/>
        <w:keepNext/>
        <w:spacing w:after="80" w:before="180"/>
      </w:pPr>
      <w:r>
        <w:rPr>
          <w:rFonts w:ascii="Calibri" w:cs="Calibri" w:eastAsia="Calibri" w:hAnsi="Calibri"/>
          <w:b/>
          <w:bCs/>
          <w:color w:val="2F5496"/>
          <w:sz w:val="24"/>
          <w:szCs w:val="24"/>
        </w:rPr>
        <w:t xml:space="preserve">12.3 Process Improvements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Restrict MFA registration and add detections for MFA changes, inbox rules, and hosting-IP sign-ins.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For financial institutions, treat multi-week dwell as unacceptable and prioritize continuous monitoring.</w:t>
      </w:r>
    </w:p>
    <w:p>
      <w:pPr>
        <w:spacing w:after="120" w:before="60" w:line="264"/>
      </w:pPr>
      <w:r>
        <w:rPr>
          <w:rFonts w:ascii="Calibri" w:cs="Calibri" w:eastAsia="Calibri" w:hAnsi="Calibri"/>
          <w:b w:val="false"/>
          <w:bCs w:val="false"/>
          <w:i/>
          <w:iCs/>
          <w:color w:val="666666"/>
          <w:sz w:val="20"/>
          <w:szCs w:val="20"/>
        </w:rPr>
        <w:t xml:space="preserve">A deeper internal review of the response is captured in the separate internal post-mortem; this section is the client-facing summary.</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13. Appendices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A: Full sign-in events from threat-actor IP addresses.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B: MailItemsAccessed / Unified Audit Log export for affected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C: Screenshots of malicious inbox rules. [Screenshot: inbox rule configuration]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D: Full IOC list in machine-readable format (CSV).</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E: Raw script outputs relevant to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F: User interview notes.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G: Copies of communications with affected third parties.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Control</w:t>
      </w:r>
    </w:p>
    <w:p>
      <w:pPr>
        <w:pStyle w:val="Heading2"/>
        <w:keepNext/>
        <w:spacing w:after="80" w:before="180"/>
      </w:pPr>
      <w:r>
        <w:rPr>
          <w:rFonts w:ascii="Calibri" w:cs="Calibri" w:eastAsia="Calibri" w:hAnsi="Calibri"/>
          <w:b/>
          <w:bCs/>
          <w:color w:val="2F5496"/>
          <w:sz w:val="24"/>
          <w:szCs w:val="24"/>
        </w:rPr>
        <w:t xml:space="preserve">Revision History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200"/>
        <w:gridCol w:w="2600"/>
        <w:gridCol w:w="3480"/>
      </w:tblGrid>
      <w:tr>
        <w:trPr>
          <w:tblHeader/>
        </w:trPr>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Version</w:t>
            </w:r>
          </w:p>
        </w:tc>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Author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Change Summary</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0.1</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draft from investigation findings.</w:t>
            </w:r>
          </w:p>
        </w:tc>
      </w:tr>
      <w:tr>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0.2</w:t>
            </w:r>
          </w:p>
        </w:tc>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review revisions.</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Final, delivered to client.</w:t>
            </w:r>
          </w:p>
        </w:tc>
      </w:tr>
    </w:tbl>
    <w:p>
      <w:pPr>
        <w:pStyle w:val="Heading2"/>
        <w:keepNext/>
        <w:spacing w:after="80" w:before="180"/>
      </w:pPr>
      <w:r>
        <w:rPr>
          <w:rFonts w:ascii="Calibri" w:cs="Calibri" w:eastAsia="Calibri" w:hAnsi="Calibri"/>
          <w:b/>
          <w:bCs/>
          <w:color w:val="2F5496"/>
          <w:sz w:val="24"/>
          <w:szCs w:val="24"/>
        </w:rPr>
        <w:t xml:space="preserve">Approval and Delivery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200"/>
        <w:gridCol w:w="2000"/>
        <w:gridCol w:w="2480"/>
      </w:tblGrid>
      <w:tr>
        <w:trPr>
          <w:tblHeader/>
        </w:trPr>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Name / Title</w:t>
            </w:r>
          </w:p>
        </w:tc>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Method</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Prepared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Reviewed By</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Delivered To</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[Recipient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[Secure delivery]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Contoso Financial · BEC-2025-0908</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Financial Investigation Report</dc:title>
  <dc:creator>[Your Organization]</dc:creator>
  <cp:lastModifiedBy>Un-named</cp:lastModifiedBy>
  <cp:revision>1</cp:revision>
  <dcterms:created xsi:type="dcterms:W3CDTF">2026-07-31T07:35:17.340Z</dcterms:created>
  <dcterms:modified xsi:type="dcterms:W3CDTF">2026-07-31T07:35:17.340Z</dcterms:modified>
</cp:coreProperties>
</file>

<file path=docProps/custom.xml><?xml version="1.0" encoding="utf-8"?>
<Properties xmlns="http://schemas.openxmlformats.org/officeDocument/2006/custom-properties" xmlns:vt="http://schemas.openxmlformats.org/officeDocument/2006/docPropsVTypes"/>
</file>