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i/>
          <w:iCs/>
          <w:color w:val="666666"/>
          <w:sz w:val="20"/>
          <w:szCs w:val="20"/>
        </w:rPr>
        <w:t xml:space="preserve">[LOGO]</w:t>
      </w:r>
    </w:p>
    <w:p>
      <w:pPr>
        <w:spacing w:after="80"/>
      </w:pPr>
      <w:r>
        <w:rPr>
          <w:rFonts w:ascii="Calibri" w:cs="Calibri" w:eastAsia="Calibri" w:hAnsi="Calibri"/>
          <w:b/>
          <w:bCs/>
          <w:color w:val="2F5496"/>
          <w:sz w:val="36"/>
          <w:szCs w:val="36"/>
        </w:rPr>
        <w:t xml:space="preserve">Security Incident Report (BEC-2025-0908)</w:t>
      </w:r>
    </w:p>
    <w:p>
      <w:pPr>
        <w:spacing w:after="120"/>
      </w:pPr>
      <w:r>
        <w:rPr>
          <w:rFonts w:ascii="Calibri" w:cs="Calibri" w:eastAsia="Calibri" w:hAnsi="Calibri"/>
          <w:b/>
          <w:bCs/>
          <w:color w:val="1A1A1A"/>
          <w:sz w:val="22"/>
          <w:szCs w:val="22"/>
        </w:rPr>
        <w:t xml:space="preserve">Contoso Financial</w:t>
      </w:r>
    </w:p>
    <w:p>
      <w:pPr>
        <w:spacing w:after="120"/>
      </w:pPr>
      <w:r>
        <w:rPr>
          <w:rFonts w:ascii="Calibri" w:cs="Calibri" w:eastAsia="Calibri" w:hAnsi="Calibri"/>
          <w:b/>
          <w:bCs/>
          <w:color w:val="1A1A1A"/>
          <w:sz w:val="22"/>
          <w:szCs w:val="22"/>
        </w:rPr>
        <w:t xml:space="preserve">Report Date: </w:t>
      </w:r>
      <w:r>
        <w:rPr>
          <w:rFonts w:ascii="Calibri" w:cs="Calibri" w:eastAsia="Calibri" w:hAnsi="Calibri"/>
          <w:color w:val="1A1A1A"/>
          <w:sz w:val="22"/>
          <w:szCs w:val="22"/>
        </w:rPr>
        <w:t xml:space="preserve">September 29, 2025</w:t>
      </w:r>
    </w:p>
    <w:p>
      <w:pPr>
        <w:spacing w:after="120" w:before="240"/>
      </w:pPr>
      <w:r>
        <w:rPr>
          <w:rFonts w:ascii="Calibri" w:cs="Calibri" w:eastAsia="Calibri" w:hAnsi="Calibri"/>
          <w:b/>
          <w:bCs/>
          <w:color w:val="2F5496"/>
          <w:sz w:val="28"/>
          <w:szCs w:val="28"/>
        </w:rPr>
        <w:t xml:space="preserve">Executive Summary</w:t>
      </w:r>
    </w:p>
    <w:p>
      <w:pPr>
        <w:spacing w:after="120"/>
      </w:pPr>
      <w:r>
        <w:rPr>
          <w:rFonts w:ascii="Calibri" w:cs="Calibri" w:eastAsia="Calibri" w:hAnsi="Calibri"/>
          <w:b/>
          <w:bCs/>
          <w:color w:val="1A1A1A"/>
          <w:sz w:val="22"/>
          <w:szCs w:val="22"/>
        </w:rPr>
        <w:t xml:space="preserve">On September 8, 2025, at approximately 16:39 UTC, </w:t>
      </w:r>
      <w:r>
        <w:rPr>
          <w:rFonts w:ascii="Calibri" w:cs="Calibri" w:eastAsia="Calibri" w:hAnsi="Calibri"/>
          <w:color w:val="1A1A1A"/>
          <w:sz w:val="22"/>
          <w:szCs w:val="22"/>
        </w:rPr>
        <w:t xml:space="preserve">an unauthorized party accessed the Microsoft 365 account belonging to “betty20@contoso.com” from IP address 92.118.112.17 (Global Connectivity Solutions, Atlanta, Georgia, United States), a hosting and data center provider. The initial sign-in exhibited characteristics consistent with an adversary-in-the-middle (AiTM) phishing attack, including a “Keep Me Signed In” (KMSI) interrupt and origination from hosting infrastructure. Within 15 minutes of initial access, the threat actor registered their own multi-factor authentication (MFA) method on the account from IP 191.101.130.55 (Majestic Hosting Solutions, Dallas, Texas), establishing persistent access that bypassed existing MFA controls.</w:t>
      </w:r>
    </w:p>
    <w:p>
      <w:pPr>
        <w:spacing w:after="120"/>
      </w:pPr>
      <w:r>
        <w:rPr>
          <w:rFonts w:ascii="Calibri" w:cs="Calibri" w:eastAsia="Calibri" w:hAnsi="Calibri"/>
          <w:color w:val="1A1A1A"/>
          <w:sz w:val="22"/>
          <w:szCs w:val="22"/>
        </w:rPr>
        <w:t xml:space="preserve">Over the following 21 days (September 8 through September 29, 2025), the threat actor maintained access to the mailbox from 39 unique hosting and VPS IP addresses, generating 1,570 mailbox audit events. The threat actor read or interacted with over 1,500 email items across 17 of the 21 days of access. On September 8, within minutes of initial compromise, the threat actor initiated Microsoft Teams sessions from hosting IP addresses. On September 11, 2025 at 22:07 UTC, the threat actor composed and sent a fraudulent outbound message containing three file attachments. Between September 28 and 29, the threat actor accessed the accounting team’s SharePoint site, specifically a list named “Morgan50 List New,” uploaded files to it, and downloaded a file from the user’s OneDrive. The threat actor created multiple malicious inbox rules, including a catch-all rule that moved all incoming mail to the RSS Feeds folder and two rules designed to intercept wire transfer notifications from a specific sender (sanchez27@cruz297.example) by routing them to a folder bearing the same “Morgan50” name used on the SharePoint list. An administrator (sandoval42@contoso.com) identified the compromise on September 29, disabled the account at 19:41 UTC, reset the password, revoked all sessions and tokens, removed the unauthorized MFA registration, and deleted the malicious inbox rules.</w:t>
      </w:r>
    </w:p>
    <w:p>
      <w:pPr>
        <w:spacing w:after="120" w:before="240"/>
      </w:pPr>
      <w:r>
        <w:rPr>
          <w:rFonts w:ascii="Calibri" w:cs="Calibri" w:eastAsia="Calibri" w:hAnsi="Calibri"/>
          <w:b/>
          <w:bCs/>
          <w:color w:val="2F5496"/>
          <w:sz w:val="28"/>
          <w:szCs w:val="28"/>
        </w:rPr>
        <w:t xml:space="preserve">Status:</w:t>
      </w:r>
      <w:r>
        <w:rPr>
          <w:rFonts w:ascii="Calibri" w:cs="Calibri" w:eastAsia="Calibri" w:hAnsi="Calibri"/>
          <w:b/>
          <w:bCs/>
          <w:color w:val="1A1A1A"/>
          <w:sz w:val="22"/>
          <w:szCs w:val="22"/>
        </w:rPr>
        <w:t xml:space="preserve"> Affected account identified and remediated; unauthorized MFA method removed and malicious inbox rules deleted.</w:t>
      </w:r>
    </w:p>
    <w:p>
      <w:pPr>
        <w:pStyle w:val="ListParagraph"/>
        <w:numPr>
          <w:ilvl w:val="0"/>
          <w:numId w:val="2"/>
        </w:numPr>
        <w:spacing w:after="60"/>
      </w:pPr>
      <w:r>
        <w:rPr>
          <w:rFonts w:ascii="Calibri" w:cs="Calibri" w:eastAsia="Calibri" w:hAnsi="Calibri"/>
          <w:color w:val="1A1A1A"/>
          <w:sz w:val="22"/>
          <w:szCs w:val="22"/>
        </w:rPr>
        <w:t xml:space="preserve">The compromised account “betty20@contoso.com” was disabled by an administrator at 19:41 UTC on September 29, 2025, and the password was reset with all active sessions and refresh tokens revoked.</w:t>
      </w:r>
    </w:p>
    <w:p>
      <w:pPr>
        <w:pStyle w:val="ListParagraph"/>
        <w:numPr>
          <w:ilvl w:val="0"/>
          <w:numId w:val="2"/>
        </w:numPr>
        <w:spacing w:after="60"/>
      </w:pPr>
      <w:r>
        <w:rPr>
          <w:rFonts w:ascii="Calibri" w:cs="Calibri" w:eastAsia="Calibri" w:hAnsi="Calibri"/>
          <w:color w:val="1A1A1A"/>
          <w:sz w:val="22"/>
          <w:szCs w:val="22"/>
        </w:rPr>
        <w:t xml:space="preserve">The unauthorized MFA method registered by the threat actor was removed by the administrator at 20:03 UTC on September 29, 2025.</w:t>
      </w:r>
    </w:p>
    <w:p>
      <w:pPr>
        <w:pStyle w:val="ListParagraph"/>
        <w:numPr>
          <w:ilvl w:val="0"/>
          <w:numId w:val="2"/>
        </w:numPr>
        <w:spacing w:after="60"/>
      </w:pPr>
      <w:r>
        <w:rPr>
          <w:rFonts w:ascii="Calibri" w:cs="Calibri" w:eastAsia="Calibri" w:hAnsi="Calibri"/>
          <w:color w:val="1A1A1A"/>
          <w:sz w:val="22"/>
          <w:szCs w:val="22"/>
        </w:rPr>
        <w:t xml:space="preserve">Four malicious inbox rules were identified and removed from the compromised mailbox, including a catch-all rule (“...”) and two wire-transfer interception rules (“Outgoing Morgan50” and “Melissa27 Morgan50”).</w:t>
      </w:r>
    </w:p>
    <w:p>
      <w:pPr>
        <w:pStyle w:val="ListParagraph"/>
        <w:numPr>
          <w:ilvl w:val="0"/>
          <w:numId w:val="2"/>
        </w:numPr>
        <w:spacing w:after="60"/>
      </w:pPr>
      <w:r>
        <w:rPr>
          <w:rFonts w:ascii="Calibri" w:cs="Calibri" w:eastAsia="Calibri" w:hAnsi="Calibri"/>
          <w:color w:val="1A1A1A"/>
          <w:sz w:val="22"/>
          <w:szCs w:val="22"/>
        </w:rPr>
        <w:t xml:space="preserve">The threat actor maintained authenticated access to the mailbox for approximately 21 days (September 8 through September 29, 2025), operating from 39 unique hosting and VPS IP addresses.</w:t>
      </w:r>
    </w:p>
    <w:p>
      <w:pPr>
        <w:pStyle w:val="ListParagraph"/>
        <w:numPr>
          <w:ilvl w:val="0"/>
          <w:numId w:val="2"/>
        </w:numPr>
        <w:spacing w:after="60"/>
      </w:pPr>
      <w:r>
        <w:rPr>
          <w:rFonts w:ascii="Calibri" w:cs="Calibri" w:eastAsia="Calibri" w:hAnsi="Calibri"/>
          <w:color w:val="1A1A1A"/>
          <w:sz w:val="22"/>
          <w:szCs w:val="22"/>
        </w:rPr>
        <w:t xml:space="preserve">At least one fraudulent outbound message containing three file attachments was sent from the account on September 11, 2025 at 22:07 UTC from IP 191.101.130.55 (Majestic Hosting Solutions, Dallas).</w:t>
      </w:r>
    </w:p>
    <w:p>
      <w:pPr>
        <w:pStyle w:val="ListParagraph"/>
        <w:numPr>
          <w:ilvl w:val="0"/>
          <w:numId w:val="2"/>
        </w:numPr>
        <w:spacing w:after="60"/>
      </w:pPr>
      <w:r>
        <w:rPr>
          <w:rFonts w:ascii="Calibri" w:cs="Calibri" w:eastAsia="Calibri" w:hAnsi="Calibri"/>
          <w:color w:val="1A1A1A"/>
          <w:sz w:val="22"/>
          <w:szCs w:val="22"/>
        </w:rPr>
        <w:t xml:space="preserve">The threat actor initiated Microsoft Teams sessions from hosting IP addresses within minutes of the initial compromise on September 8, 2025.</w:t>
      </w:r>
    </w:p>
    <w:p>
      <w:pPr>
        <w:spacing w:after="120" w:before="240"/>
      </w:pPr>
      <w:r>
        <w:rPr>
          <w:rFonts w:ascii="Calibri" w:cs="Calibri" w:eastAsia="Calibri" w:hAnsi="Calibri"/>
          <w:b/>
          <w:bCs/>
          <w:color w:val="2F5496"/>
          <w:sz w:val="28"/>
          <w:szCs w:val="28"/>
        </w:rPr>
        <w:t xml:space="preserve">Impact:</w:t>
      </w:r>
      <w:r>
        <w:rPr>
          <w:rFonts w:ascii="Calibri" w:cs="Calibri" w:eastAsia="Calibri" w:hAnsi="Calibri"/>
          <w:b/>
          <w:bCs/>
          <w:color w:val="1A1A1A"/>
          <w:sz w:val="22"/>
          <w:szCs w:val="22"/>
        </w:rPr>
        <w:t xml:space="preserve"> Extended mailbox, SharePoint, and Teams access with financial-themed inbox rules and outbound fraudulent email activity.</w:t>
      </w:r>
    </w:p>
    <w:p>
      <w:pPr>
        <w:pStyle w:val="ListParagraph"/>
        <w:numPr>
          <w:ilvl w:val="0"/>
          <w:numId w:val="2"/>
        </w:numPr>
        <w:spacing w:after="60"/>
      </w:pPr>
      <w:r>
        <w:rPr>
          <w:rFonts w:ascii="Calibri" w:cs="Calibri" w:eastAsia="Calibri" w:hAnsi="Calibri"/>
          <w:color w:val="1A1A1A"/>
          <w:sz w:val="22"/>
          <w:szCs w:val="22"/>
        </w:rPr>
        <w:t xml:space="preserve">The threat actor generated 1,570 mailbox audit events from hosting IP addresses over the 21-day compromise window, with 1,568 Update (read/interaction) events indicating extensive review of the mailbox contents across 17 of the 21 days of access.</w:t>
      </w:r>
    </w:p>
    <w:p>
      <w:pPr>
        <w:pStyle w:val="ListParagraph"/>
        <w:numPr>
          <w:ilvl w:val="0"/>
          <w:numId w:val="2"/>
        </w:numPr>
        <w:spacing w:after="60"/>
      </w:pPr>
      <w:r>
        <w:rPr>
          <w:rFonts w:ascii="Calibri" w:cs="Calibri" w:eastAsia="Calibri" w:hAnsi="Calibri"/>
          <w:color w:val="1A1A1A"/>
          <w:sz w:val="22"/>
          <w:szCs w:val="22"/>
        </w:rPr>
        <w:t xml:space="preserve">One outbound message containing three file attachments was sent from the compromised account by the threat actor on September 11, 2025. The threat actor composed the message as a draft at 22:06 UTC and sent it at 22:07 UTC. Recipients of this message may have received fraudulent content or malicious attachments.</w:t>
      </w:r>
    </w:p>
    <w:p>
      <w:pPr>
        <w:pStyle w:val="ListParagraph"/>
        <w:numPr>
          <w:ilvl w:val="0"/>
          <w:numId w:val="2"/>
        </w:numPr>
        <w:spacing w:after="60"/>
      </w:pPr>
      <w:r>
        <w:rPr>
          <w:rFonts w:ascii="Calibri" w:cs="Calibri" w:eastAsia="Calibri" w:hAnsi="Calibri"/>
          <w:color w:val="1A1A1A"/>
          <w:sz w:val="22"/>
          <w:szCs w:val="22"/>
        </w:rPr>
        <w:t xml:space="preserve">The threat actor accessed the accounting team’s SharePoint site (contoso.sharepoint.com/sites/Davis15/accountingteam) on September 28 and 29, 2025 from IP 191.101.130.55, generating 60 SharePoint audit events. The threat actor viewed, uploaded files to, and modified items on a SharePoint list named “Morgan50 List New,” and downloaded at least one file from the user’s OneDrive. The “Morgan50” naming matches the inbox rule redirect folders, indicating a coordinated scheme linking mailbox rules and SharePoint infrastructure.</w:t>
      </w:r>
    </w:p>
    <w:p>
      <w:pPr>
        <w:pStyle w:val="ListParagraph"/>
        <w:numPr>
          <w:ilvl w:val="0"/>
          <w:numId w:val="2"/>
        </w:numPr>
        <w:spacing w:after="60"/>
      </w:pPr>
      <w:r>
        <w:rPr>
          <w:rFonts w:ascii="Calibri" w:cs="Calibri" w:eastAsia="Calibri" w:hAnsi="Calibri"/>
          <w:color w:val="1A1A1A"/>
          <w:sz w:val="22"/>
          <w:szCs w:val="22"/>
        </w:rPr>
        <w:t xml:space="preserve">The threat actor initiated four Microsoft Teams sessions from hosting IP addresses (191.101.130.4, 191.101.130.55, and 143.244.49.45) between 16:48 and 17:26 UTC on September 8, 2025, within minutes of the initial compromise.</w:t>
      </w:r>
    </w:p>
    <w:p>
      <w:pPr>
        <w:pStyle w:val="ListParagraph"/>
        <w:numPr>
          <w:ilvl w:val="0"/>
          <w:numId w:val="2"/>
        </w:numPr>
        <w:spacing w:after="60"/>
      </w:pPr>
      <w:r>
        <w:rPr>
          <w:rFonts w:ascii="Calibri" w:cs="Calibri" w:eastAsia="Calibri" w:hAnsi="Calibri"/>
          <w:color w:val="1A1A1A"/>
          <w:sz w:val="22"/>
          <w:szCs w:val="22"/>
        </w:rPr>
        <w:t xml:space="preserve">Two inbox rules (“Outgoing Morgan50” and “Melissa27 Morgan50”) were configured to intercept messages from sanchez27@cruz297.example containing wire-transfer-related subject keywords and redirect them to a hidden folder, preventing the legitimate account holder from seeing wire transfer notifications.</w:t>
      </w:r>
    </w:p>
    <w:p>
      <w:pPr>
        <w:pStyle w:val="ListParagraph"/>
        <w:numPr>
          <w:ilvl w:val="0"/>
          <w:numId w:val="2"/>
        </w:numPr>
        <w:spacing w:after="60"/>
      </w:pPr>
      <w:r>
        <w:rPr>
          <w:rFonts w:ascii="Calibri" w:cs="Calibri" w:eastAsia="Calibri" w:hAnsi="Calibri"/>
          <w:color w:val="1A1A1A"/>
          <w:sz w:val="22"/>
          <w:szCs w:val="22"/>
        </w:rPr>
        <w:t xml:space="preserve">The threat actor registered their own MFA method on the account within 15 minutes of initial access, enabling persistent authentication that survived password rotation alone.</w:t>
      </w:r>
    </w:p>
    <w:p>
      <w:pPr>
        <w:pStyle w:val="ListParagraph"/>
        <w:numPr>
          <w:ilvl w:val="0"/>
          <w:numId w:val="2"/>
        </w:numPr>
        <w:spacing w:after="60"/>
      </w:pPr>
      <w:r>
        <w:rPr>
          <w:rFonts w:ascii="Calibri" w:cs="Calibri" w:eastAsia="Calibri" w:hAnsi="Calibri"/>
          <w:color w:val="1A1A1A"/>
          <w:sz w:val="22"/>
          <w:szCs w:val="22"/>
        </w:rPr>
        <w:t xml:space="preserve">A secondary identity (betty20.deborah51@contoso.com) was used to access SharePoint resources from the threat actor’s IP address (191.101.130.55), suggesting the threat actor leveraged delegated or shared access to reach additional files beyond the primary compromised mailbox.</w:t>
      </w:r>
    </w:p>
    <w:p>
      <w:pPr>
        <w:pStyle w:val="ListParagraph"/>
        <w:numPr>
          <w:ilvl w:val="0"/>
          <w:numId w:val="2"/>
        </w:numPr>
        <w:spacing w:after="60"/>
      </w:pPr>
      <w:r>
        <w:rPr>
          <w:rFonts w:ascii="Calibri" w:cs="Calibri" w:eastAsia="Calibri" w:hAnsi="Calibri"/>
          <w:color w:val="1A1A1A"/>
          <w:sz w:val="22"/>
          <w:szCs w:val="22"/>
        </w:rPr>
        <w:t xml:space="preserve">Similar wire-transfer-themed inbox rules referencing the same external sender (sanchez27@cruz297.example) were identified on two additional tenant accounts (green34@contoso.com and george26@contoso.com), suggesting the same threat actor compromised multiple accounts within the organization.</w:t>
      </w:r>
    </w:p>
    <w:p>
      <w:pPr>
        <w:spacing w:after="120" w:before="240"/>
      </w:pPr>
      <w:r>
        <w:rPr>
          <w:rFonts w:ascii="Calibri" w:cs="Calibri" w:eastAsia="Calibri" w:hAnsi="Calibri"/>
          <w:b/>
          <w:bCs/>
          <w:color w:val="2F5496"/>
          <w:sz w:val="28"/>
          <w:szCs w:val="28"/>
        </w:rPr>
        <w:t xml:space="preserve">Actions Performed:</w:t>
      </w:r>
    </w:p>
    <w:p>
      <w:pPr>
        <w:pStyle w:val="ListParagraph"/>
        <w:numPr>
          <w:ilvl w:val="0"/>
          <w:numId w:val="2"/>
        </w:numPr>
        <w:spacing w:after="60"/>
      </w:pPr>
      <w:r>
        <w:rPr>
          <w:rFonts w:ascii="Calibri" w:cs="Calibri" w:eastAsia="Calibri" w:hAnsi="Calibri"/>
          <w:color w:val="1A1A1A"/>
          <w:sz w:val="22"/>
          <w:szCs w:val="22"/>
        </w:rPr>
        <w:t xml:space="preserve">Identified the initial unauthorized sign-in from IP 92.118.112.17 (hosting provider) on September 8, 2025 at 16:39 UTC and confirmed adversary-in-the-middle (AiTM) attack indicators.</w:t>
      </w:r>
    </w:p>
    <w:p>
      <w:pPr>
        <w:pStyle w:val="ListParagraph"/>
        <w:numPr>
          <w:ilvl w:val="0"/>
          <w:numId w:val="2"/>
        </w:numPr>
        <w:spacing w:after="60"/>
      </w:pPr>
      <w:r>
        <w:rPr>
          <w:rFonts w:ascii="Calibri" w:cs="Calibri" w:eastAsia="Calibri" w:hAnsi="Calibri"/>
          <w:color w:val="1A1A1A"/>
          <w:sz w:val="22"/>
          <w:szCs w:val="22"/>
        </w:rPr>
        <w:t xml:space="preserve">Disabled the compromised account at 19:41 UTC on September 29, 2025 and reset the password with revocation of all active sessions and refresh tokens (StsRefreshTokensValidFrom).</w:t>
      </w:r>
    </w:p>
    <w:p>
      <w:pPr>
        <w:pStyle w:val="ListParagraph"/>
        <w:numPr>
          <w:ilvl w:val="0"/>
          <w:numId w:val="2"/>
        </w:numPr>
        <w:spacing w:after="60"/>
      </w:pPr>
      <w:r>
        <w:rPr>
          <w:rFonts w:ascii="Calibri" w:cs="Calibri" w:eastAsia="Calibri" w:hAnsi="Calibri"/>
          <w:color w:val="1A1A1A"/>
          <w:sz w:val="22"/>
          <w:szCs w:val="22"/>
        </w:rPr>
        <w:t xml:space="preserve">Removed the unauthorized MFA registration added by the threat actor and confirmed the legitimate user re-registered their own MFA method at 20:29 UTC.</w:t>
      </w:r>
    </w:p>
    <w:p>
      <w:pPr>
        <w:pStyle w:val="ListParagraph"/>
        <w:numPr>
          <w:ilvl w:val="0"/>
          <w:numId w:val="2"/>
        </w:numPr>
        <w:spacing w:after="60"/>
      </w:pPr>
      <w:r>
        <w:rPr>
          <w:rFonts w:ascii="Calibri" w:cs="Calibri" w:eastAsia="Calibri" w:hAnsi="Calibri"/>
          <w:color w:val="1A1A1A"/>
          <w:sz w:val="22"/>
          <w:szCs w:val="22"/>
        </w:rPr>
        <w:t xml:space="preserve">Identified and removed four malicious inbox rules from the compromised mailbox, including wire-transfer interception rules and a catch-all redirection rule.</w:t>
      </w:r>
    </w:p>
    <w:p>
      <w:pPr>
        <w:pStyle w:val="ListParagraph"/>
        <w:numPr>
          <w:ilvl w:val="0"/>
          <w:numId w:val="2"/>
        </w:numPr>
        <w:spacing w:after="60"/>
      </w:pPr>
      <w:r>
        <w:rPr>
          <w:rFonts w:ascii="Calibri" w:cs="Calibri" w:eastAsia="Calibri" w:hAnsi="Calibri"/>
          <w:color w:val="1A1A1A"/>
          <w:sz w:val="22"/>
          <w:szCs w:val="22"/>
        </w:rPr>
        <w:t xml:space="preserve">Reviewed the Entra ID interactive sign-in logs for the period August 29 through September 29, 2025 (391 sign-in events for the affected account; 39 unique threat actor IP addresses identified).</w:t>
      </w:r>
    </w:p>
    <w:p>
      <w:pPr>
        <w:pStyle w:val="ListParagraph"/>
        <w:numPr>
          <w:ilvl w:val="0"/>
          <w:numId w:val="2"/>
        </w:numPr>
        <w:spacing w:after="60"/>
      </w:pPr>
      <w:r>
        <w:rPr>
          <w:rFonts w:ascii="Calibri" w:cs="Calibri" w:eastAsia="Calibri" w:hAnsi="Calibri"/>
          <w:color w:val="1A1A1A"/>
          <w:sz w:val="22"/>
          <w:szCs w:val="22"/>
        </w:rPr>
        <w:t xml:space="preserve">Analyzed the Entra ID audit logs (82 betty20-related entries) to reconstruct the MFA registration, password reset, and administrative remediation timeline.</w:t>
      </w:r>
    </w:p>
    <w:p>
      <w:pPr>
        <w:pStyle w:val="ListParagraph"/>
        <w:numPr>
          <w:ilvl w:val="0"/>
          <w:numId w:val="2"/>
        </w:numPr>
        <w:spacing w:after="60"/>
      </w:pPr>
      <w:r>
        <w:rPr>
          <w:rFonts w:ascii="Calibri" w:cs="Calibri" w:eastAsia="Calibri" w:hAnsi="Calibri"/>
          <w:color w:val="1A1A1A"/>
          <w:sz w:val="22"/>
          <w:szCs w:val="22"/>
        </w:rPr>
        <w:t xml:space="preserve">Reviewed the Unified Audit Log (7,644 mailbox entries and 1,962 IP-correlated entries for the affected account) to identify all mailbox access, message send, SharePoint activity, Teams sessions, and inbox rule modification events from threat actor IP addresses.</w:t>
      </w:r>
    </w:p>
    <w:p>
      <w:pPr>
        <w:pStyle w:val="ListParagraph"/>
        <w:numPr>
          <w:ilvl w:val="0"/>
          <w:numId w:val="2"/>
        </w:numPr>
        <w:spacing w:after="60"/>
      </w:pPr>
      <w:r>
        <w:rPr>
          <w:rFonts w:ascii="Calibri" w:cs="Calibri" w:eastAsia="Calibri" w:hAnsi="Calibri"/>
          <w:color w:val="1A1A1A"/>
          <w:sz w:val="22"/>
          <w:szCs w:val="22"/>
        </w:rPr>
        <w:t xml:space="preserve">Analyzed 60 SharePoint audit events from the threat actor IP, confirming access to the accounting team site, file uploads to a “Morgan50 List New” SharePoint list, and a file download from the user’s OneDrive.</w:t>
      </w:r>
    </w:p>
    <w:p>
      <w:pPr>
        <w:pStyle w:val="ListParagraph"/>
        <w:numPr>
          <w:ilvl w:val="0"/>
          <w:numId w:val="2"/>
        </w:numPr>
        <w:spacing w:after="60"/>
      </w:pPr>
      <w:r>
        <w:rPr>
          <w:rFonts w:ascii="Calibri" w:cs="Calibri" w:eastAsia="Calibri" w:hAnsi="Calibri"/>
          <w:color w:val="1A1A1A"/>
          <w:sz w:val="22"/>
          <w:szCs w:val="22"/>
        </w:rPr>
        <w:t xml:space="preserve">Identified four Microsoft Teams sessions initiated by the threat actor on September 8, 2025 from hosting IP addresses.</w:t>
      </w:r>
    </w:p>
    <w:p>
      <w:pPr>
        <w:pStyle w:val="ListParagraph"/>
        <w:numPr>
          <w:ilvl w:val="0"/>
          <w:numId w:val="2"/>
        </w:numPr>
        <w:spacing w:after="60"/>
      </w:pPr>
      <w:r>
        <w:rPr>
          <w:rFonts w:ascii="Calibri" w:cs="Calibri" w:eastAsia="Calibri" w:hAnsi="Calibri"/>
          <w:color w:val="1A1A1A"/>
          <w:sz w:val="22"/>
          <w:szCs w:val="22"/>
        </w:rPr>
        <w:t xml:space="preserve">Identified similar malicious inbox rules on two additional tenant accounts (green34@contoso.com and george26@contoso.com) with the same external sender pattern, and flagged these accounts for further investigation.</w:t>
      </w:r>
    </w:p>
    <w:p>
      <w:pPr>
        <w:spacing w:after="120" w:before="240"/>
      </w:pPr>
      <w:r>
        <w:rPr>
          <w:rFonts w:ascii="Calibri" w:cs="Calibri" w:eastAsia="Calibri" w:hAnsi="Calibri"/>
          <w:b/>
          <w:bCs/>
          <w:color w:val="2F5496"/>
          <w:sz w:val="28"/>
          <w:szCs w:val="28"/>
        </w:rPr>
        <w:t xml:space="preserve">Additional Observation: Related Compromise of green34 and george26 Accounts</w:t>
      </w:r>
    </w:p>
    <w:p>
      <w:pPr>
        <w:spacing w:after="120"/>
      </w:pPr>
      <w:r>
        <w:rPr>
          <w:rFonts w:ascii="Calibri" w:cs="Calibri" w:eastAsia="Calibri" w:hAnsi="Calibri"/>
          <w:color w:val="1A1A1A"/>
          <w:sz w:val="22"/>
          <w:szCs w:val="22"/>
        </w:rPr>
        <w:t xml:space="preserve">During the review of inbox rule changes across the tenant, [Your Organization] identified that two additional accounts, green34@contoso.com and george26@contoso.com, had inbox rules with the same financial theme and external sender address (sanchez27@cruz297.example) as the rules found in betty20’s mailbox. The green34 account had rules named “MidCountry Bank” and “MidCountry Bank (1)” configured to intercept messages containing wire-transfer-related subject keywords and move them to a folder named “Morgan50.” These rules were set from IP 50.77.53.225 on September 26, 2025. The george26 account had a similar “MidCountry Bank” rule set from IP 184.83.255.228 on September 5, 2025. Notably, the “Morgan50” folder name used in the inbox rules across all three accounts matches the “Morgan50 List New” SharePoint list that the threat actor accessed and modified in betty20’s accounting team site, indicating a coordinated infrastructure across mailbox rules and SharePoint. The consistent use of the same external sender address, folder naming, and wire-transfer interception pattern strongly suggests these accounts were compromised by the same threat actor. A full investigation of both accounts is recommended.</w:t>
      </w:r>
    </w:p>
    <w:p>
      <w:pPr>
        <w:spacing w:after="120" w:before="240"/>
      </w:pPr>
      <w:r>
        <w:rPr>
          <w:rFonts w:ascii="Calibri" w:cs="Calibri" w:eastAsia="Calibri" w:hAnsi="Calibri"/>
          <w:b/>
          <w:bCs/>
          <w:color w:val="2F5496"/>
          <w:sz w:val="28"/>
          <w:szCs w:val="28"/>
        </w:rPr>
        <w:t xml:space="preserve">Recommendations</w:t>
      </w:r>
    </w:p>
    <w:p>
      <w:pPr>
        <w:pStyle w:val="ListParagraph"/>
        <w:numPr>
          <w:ilvl w:val="0"/>
          <w:numId w:val="2"/>
        </w:numPr>
        <w:spacing w:after="60" w:before="120"/>
      </w:pPr>
      <w:r>
        <w:rPr>
          <w:rFonts w:ascii="Calibri" w:cs="Calibri" w:eastAsia="Calibri" w:hAnsi="Calibri"/>
          <w:b/>
          <w:bCs/>
          <w:color w:val="1A1A1A"/>
          <w:sz w:val="22"/>
          <w:szCs w:val="22"/>
        </w:rPr>
        <w:t xml:space="preserve">Immediate Follow-Up</w:t>
      </w:r>
    </w:p>
    <w:p>
      <w:pPr>
        <w:pStyle w:val="ListParagraph"/>
        <w:numPr>
          <w:ilvl w:val="1"/>
          <w:numId w:val="2"/>
        </w:numPr>
        <w:spacing w:after="60"/>
      </w:pPr>
      <w:r>
        <w:rPr>
          <w:rFonts w:ascii="Calibri" w:cs="Calibri" w:eastAsia="Calibri" w:hAnsi="Calibri"/>
          <w:color w:val="1A1A1A"/>
          <w:sz w:val="22"/>
          <w:szCs w:val="22"/>
        </w:rPr>
        <w:t xml:space="preserve">Investigate the green34@contoso.com and george26@contoso.com accounts for unauthorized access, as both contain inbox rules consistent with the same threat actor who compromised betty20@contoso.com.</w:t>
      </w:r>
    </w:p>
    <w:p>
      <w:pPr>
        <w:pStyle w:val="ListParagraph"/>
        <w:numPr>
          <w:ilvl w:val="1"/>
          <w:numId w:val="2"/>
        </w:numPr>
        <w:spacing w:after="60"/>
      </w:pPr>
      <w:r>
        <w:rPr>
          <w:rFonts w:ascii="Calibri" w:cs="Calibri" w:eastAsia="Calibri" w:hAnsi="Calibri"/>
          <w:color w:val="1A1A1A"/>
          <w:sz w:val="22"/>
          <w:szCs w:val="22"/>
        </w:rPr>
        <w:t xml:space="preserve">Contact the recipients of the outbound message sent from betty20@contoso.com on September 11, 2025 to advise them that the message was not sent by the legitimate account holder and may contain fraudulent attachments or content.</w:t>
      </w:r>
    </w:p>
    <w:p>
      <w:pPr>
        <w:pStyle w:val="ListParagraph"/>
        <w:numPr>
          <w:ilvl w:val="1"/>
          <w:numId w:val="2"/>
        </w:numPr>
        <w:spacing w:after="60"/>
      </w:pPr>
      <w:r>
        <w:rPr>
          <w:rFonts w:ascii="Calibri" w:cs="Calibri" w:eastAsia="Calibri" w:hAnsi="Calibri"/>
          <w:color w:val="1A1A1A"/>
          <w:sz w:val="22"/>
          <w:szCs w:val="22"/>
        </w:rPr>
        <w:t xml:space="preserve">Review the wire-transfer notifications intercepted by the “Outgoing Morgan50” and “Melissa27 Morgan50” inbox rules to determine whether any financial transactions were redirected or altered.</w:t>
      </w:r>
    </w:p>
    <w:p>
      <w:pPr>
        <w:pStyle w:val="ListParagraph"/>
        <w:numPr>
          <w:ilvl w:val="1"/>
          <w:numId w:val="2"/>
        </w:numPr>
        <w:spacing w:after="60"/>
      </w:pPr>
      <w:r>
        <w:rPr>
          <w:rFonts w:ascii="Calibri" w:cs="Calibri" w:eastAsia="Calibri" w:hAnsi="Calibri"/>
          <w:color w:val="1A1A1A"/>
          <w:sz w:val="22"/>
          <w:szCs w:val="22"/>
        </w:rPr>
        <w:t xml:space="preserve">Audit the “Morgan50 List New” SharePoint list on the accounting team site for any items uploaded or modified by the threat actor, and review the file downloaded from betty20’s OneDrive to assess data exposure.</w:t>
      </w:r>
    </w:p>
    <w:p>
      <w:pPr>
        <w:pStyle w:val="ListParagraph"/>
        <w:numPr>
          <w:ilvl w:val="1"/>
          <w:numId w:val="2"/>
        </w:numPr>
        <w:spacing w:after="60"/>
      </w:pPr>
      <w:r>
        <w:rPr>
          <w:rFonts w:ascii="Calibri" w:cs="Calibri" w:eastAsia="Calibri" w:hAnsi="Calibri"/>
          <w:color w:val="1A1A1A"/>
          <w:sz w:val="22"/>
          <w:szCs w:val="22"/>
        </w:rPr>
        <w:t xml:space="preserve">Investigate the secondary identity betty20.deborah51@contoso.com to determine the nature of the delegated or shared access and whether additional data was exposed through this account.</w:t>
      </w:r>
    </w:p>
    <w:p>
      <w:pPr>
        <w:pStyle w:val="ListParagraph"/>
        <w:numPr>
          <w:ilvl w:val="1"/>
          <w:numId w:val="2"/>
        </w:numPr>
        <w:spacing w:after="60"/>
      </w:pPr>
      <w:r>
        <w:rPr>
          <w:rFonts w:ascii="Calibri" w:cs="Calibri" w:eastAsia="Calibri" w:hAnsi="Calibri"/>
          <w:color w:val="1A1A1A"/>
          <w:sz w:val="22"/>
          <w:szCs w:val="22"/>
        </w:rPr>
        <w:t xml:space="preserve">Review Microsoft Teams conversations initiated from the compromised account on September 8, 2025 for any social engineering or fraudulent communications sent to internal contacts.</w:t>
      </w:r>
    </w:p>
    <w:p>
      <w:pPr>
        <w:pStyle w:val="ListParagraph"/>
        <w:numPr>
          <w:ilvl w:val="0"/>
          <w:numId w:val="2"/>
        </w:numPr>
        <w:spacing w:after="60" w:before="120"/>
      </w:pPr>
      <w:r>
        <w:rPr>
          <w:rFonts w:ascii="Calibri" w:cs="Calibri" w:eastAsia="Calibri" w:hAnsi="Calibri"/>
          <w:b/>
          <w:bCs/>
          <w:color w:val="1A1A1A"/>
          <w:sz w:val="22"/>
          <w:szCs w:val="22"/>
        </w:rPr>
        <w:t xml:space="preserve">Identity &amp; Access</w:t>
      </w:r>
    </w:p>
    <w:p>
      <w:pPr>
        <w:pStyle w:val="ListParagraph"/>
        <w:numPr>
          <w:ilvl w:val="1"/>
          <w:numId w:val="2"/>
        </w:numPr>
        <w:spacing w:after="60"/>
      </w:pPr>
      <w:r>
        <w:rPr>
          <w:rFonts w:ascii="Calibri" w:cs="Calibri" w:eastAsia="Calibri" w:hAnsi="Calibri"/>
          <w:color w:val="1A1A1A"/>
          <w:sz w:val="22"/>
          <w:szCs w:val="22"/>
        </w:rPr>
        <w:t xml:space="preserve">Deploy phishing-resistant MFA methods (FIDO2 security keys or certificate-based authentication) for all users to mitigate adversary-in-the-middle session token replay attacks, which bypass standard MFA.</w:t>
      </w:r>
    </w:p>
    <w:p>
      <w:pPr>
        <w:pStyle w:val="ListParagraph"/>
        <w:numPr>
          <w:ilvl w:val="1"/>
          <w:numId w:val="2"/>
        </w:numPr>
        <w:spacing w:after="60"/>
      </w:pPr>
      <w:r>
        <w:rPr>
          <w:rFonts w:ascii="Calibri" w:cs="Calibri" w:eastAsia="Calibri" w:hAnsi="Calibri"/>
          <w:color w:val="1A1A1A"/>
          <w:sz w:val="22"/>
          <w:szCs w:val="22"/>
        </w:rPr>
        <w:t xml:space="preserve">Implement Conditional Access policies that block or require step-up authentication for sign-ins from hosting providers, VPN endpoints, and data center IP addresses not associated with the organization’s normal operations.</w:t>
      </w:r>
    </w:p>
    <w:p>
      <w:pPr>
        <w:pStyle w:val="ListParagraph"/>
        <w:numPr>
          <w:ilvl w:val="1"/>
          <w:numId w:val="2"/>
        </w:numPr>
        <w:spacing w:after="60"/>
      </w:pPr>
      <w:r>
        <w:rPr>
          <w:rFonts w:ascii="Calibri" w:cs="Calibri" w:eastAsia="Calibri" w:hAnsi="Calibri"/>
          <w:color w:val="1A1A1A"/>
          <w:sz w:val="22"/>
          <w:szCs w:val="22"/>
        </w:rPr>
        <w:t xml:space="preserve">Restrict the ability of end users to register new MFA methods without administrative approval or additional verification, to prevent threat actors from establishing persistent access after initial compromise.</w:t>
      </w:r>
    </w:p>
    <w:p>
      <w:pPr>
        <w:pStyle w:val="ListParagraph"/>
        <w:numPr>
          <w:ilvl w:val="1"/>
          <w:numId w:val="2"/>
        </w:numPr>
        <w:spacing w:after="60"/>
      </w:pPr>
      <w:r>
        <w:rPr>
          <w:rFonts w:ascii="Calibri" w:cs="Calibri" w:eastAsia="Calibri" w:hAnsi="Calibri"/>
          <w:color w:val="1A1A1A"/>
          <w:sz w:val="22"/>
          <w:szCs w:val="22"/>
        </w:rPr>
        <w:t xml:space="preserve">Implement token protection (token binding) policies where supported to prevent session token replay from unauthorized devices.</w:t>
      </w:r>
    </w:p>
    <w:p>
      <w:pPr>
        <w:pStyle w:val="ListParagraph"/>
        <w:numPr>
          <w:ilvl w:val="0"/>
          <w:numId w:val="2"/>
        </w:numPr>
        <w:spacing w:after="60" w:before="120"/>
      </w:pPr>
      <w:r>
        <w:rPr>
          <w:rFonts w:ascii="Calibri" w:cs="Calibri" w:eastAsia="Calibri" w:hAnsi="Calibri"/>
          <w:b/>
          <w:bCs/>
          <w:color w:val="1A1A1A"/>
          <w:sz w:val="22"/>
          <w:szCs w:val="22"/>
        </w:rPr>
        <w:t xml:space="preserve">Security Awareness</w:t>
      </w:r>
    </w:p>
    <w:p>
      <w:pPr>
        <w:pStyle w:val="ListParagraph"/>
        <w:numPr>
          <w:ilvl w:val="1"/>
          <w:numId w:val="2"/>
        </w:numPr>
        <w:spacing w:after="60"/>
      </w:pPr>
      <w:r>
        <w:rPr>
          <w:rFonts w:ascii="Calibri" w:cs="Calibri" w:eastAsia="Calibri" w:hAnsi="Calibri"/>
          <w:color w:val="1A1A1A"/>
          <w:sz w:val="22"/>
          <w:szCs w:val="22"/>
        </w:rPr>
        <w:t xml:space="preserve">Conduct targeted security awareness training for all staff, with emphasis on recognizing AiTM phishing attacks and the importance of reporting unexpected MFA registration prompts.</w:t>
      </w:r>
    </w:p>
    <w:p>
      <w:pPr>
        <w:pStyle w:val="ListParagraph"/>
        <w:numPr>
          <w:ilvl w:val="1"/>
          <w:numId w:val="2"/>
        </w:numPr>
        <w:spacing w:after="60"/>
      </w:pPr>
      <w:r>
        <w:rPr>
          <w:rFonts w:ascii="Calibri" w:cs="Calibri" w:eastAsia="Calibri" w:hAnsi="Calibri"/>
          <w:color w:val="1A1A1A"/>
          <w:sz w:val="22"/>
          <w:szCs w:val="22"/>
        </w:rPr>
        <w:t xml:space="preserve">Communicate to staff that the organization experienced an active BEC incident affecting multiple accounts and reinforce the procedure for verifying wire-transfer requests through out-of-band confirmation.</w:t>
      </w:r>
    </w:p>
    <w:p>
      <w:pPr>
        <w:pStyle w:val="ListParagraph"/>
        <w:numPr>
          <w:ilvl w:val="0"/>
          <w:numId w:val="2"/>
        </w:numPr>
        <w:spacing w:after="60" w:before="120"/>
      </w:pPr>
      <w:r>
        <w:rPr>
          <w:rFonts w:ascii="Calibri" w:cs="Calibri" w:eastAsia="Calibri" w:hAnsi="Calibri"/>
          <w:b/>
          <w:bCs/>
          <w:color w:val="1A1A1A"/>
          <w:sz w:val="22"/>
          <w:szCs w:val="22"/>
        </w:rPr>
        <w:t xml:space="preserve">Monitoring &amp; Detection</w:t>
      </w:r>
    </w:p>
    <w:p>
      <w:pPr>
        <w:pStyle w:val="ListParagraph"/>
        <w:numPr>
          <w:ilvl w:val="1"/>
          <w:numId w:val="2"/>
        </w:numPr>
        <w:spacing w:after="60"/>
      </w:pPr>
      <w:r>
        <w:rPr>
          <w:rFonts w:ascii="Calibri" w:cs="Calibri" w:eastAsia="Calibri" w:hAnsi="Calibri"/>
          <w:color w:val="1A1A1A"/>
          <w:sz w:val="22"/>
          <w:szCs w:val="22"/>
        </w:rPr>
        <w:t xml:space="preserve">Configure alerts for new MFA method registrations, particularly when the registration occurs shortly after a sign-in from a new or anomalous location.</w:t>
      </w:r>
    </w:p>
    <w:p>
      <w:pPr>
        <w:pStyle w:val="ListParagraph"/>
        <w:numPr>
          <w:ilvl w:val="1"/>
          <w:numId w:val="2"/>
        </w:numPr>
        <w:spacing w:after="60"/>
      </w:pPr>
      <w:r>
        <w:rPr>
          <w:rFonts w:ascii="Calibri" w:cs="Calibri" w:eastAsia="Calibri" w:hAnsi="Calibri"/>
          <w:color w:val="1A1A1A"/>
          <w:sz w:val="22"/>
          <w:szCs w:val="22"/>
        </w:rPr>
        <w:t xml:space="preserve">Establish alerts for inbox rule creation events, particularly rules with catch-all conditions, single-character or encoded names, or rules that redirect messages to non-standard folders such as RSS Feeds or Archive.</w:t>
      </w:r>
    </w:p>
    <w:p>
      <w:pPr>
        <w:pStyle w:val="ListParagraph"/>
        <w:numPr>
          <w:ilvl w:val="1"/>
          <w:numId w:val="2"/>
        </w:numPr>
        <w:spacing w:after="60"/>
      </w:pPr>
      <w:r>
        <w:rPr>
          <w:rFonts w:ascii="Calibri" w:cs="Calibri" w:eastAsia="Calibri" w:hAnsi="Calibri"/>
          <w:color w:val="1A1A1A"/>
          <w:sz w:val="22"/>
          <w:szCs w:val="22"/>
        </w:rPr>
        <w:t xml:space="preserve">Configure alerts for sign-ins from known hosting providers and IP addresses classified as VPS or data center infrastructure.</w:t>
      </w:r>
    </w:p>
    <w:p>
      <w:pPr>
        <w:pStyle w:val="ListParagraph"/>
        <w:numPr>
          <w:ilvl w:val="1"/>
          <w:numId w:val="2"/>
        </w:numPr>
        <w:spacing w:after="60"/>
      </w:pPr>
      <w:r>
        <w:rPr>
          <w:rFonts w:ascii="Calibri" w:cs="Calibri" w:eastAsia="Calibri" w:hAnsi="Calibri"/>
          <w:color w:val="1A1A1A"/>
          <w:sz w:val="22"/>
          <w:szCs w:val="22"/>
        </w:rPr>
        <w:t xml:space="preserve">Implement alerts for SharePoint access from IP addresses not associated with normal user activity, especially access to financial document libraries.</w:t>
      </w:r>
    </w:p>
    <w:p>
      <w:pPr>
        <w:pStyle w:val="ListParagraph"/>
        <w:numPr>
          <w:ilvl w:val="1"/>
          <w:numId w:val="2"/>
        </w:numPr>
        <w:spacing w:after="60"/>
      </w:pPr>
      <w:r>
        <w:rPr>
          <w:rFonts w:ascii="Calibri" w:cs="Calibri" w:eastAsia="Calibri" w:hAnsi="Calibri"/>
          <w:color w:val="1A1A1A"/>
          <w:sz w:val="22"/>
          <w:szCs w:val="22"/>
        </w:rPr>
        <w:t xml:space="preserve">Review and extend sign-in and audit log retention to at least 90 days to support future investigations.</w:t>
      </w:r>
    </w:p>
    <w:p>
      <w:pPr>
        <w:pBdr>
          <w:top w:val="single" w:color="CCCCCC" w:sz="1"/>
        </w:pBdr>
        <w:spacing w:before="360"/>
      </w:pPr>
      <w:r>
        <w:rPr>
          <w:rFonts w:ascii="Calibri" w:cs="Calibri" w:eastAsia="Calibri" w:hAnsi="Calibri"/>
          <w:i/>
          <w:iCs/>
          <w:color w:val="666666"/>
          <w:sz w:val="18"/>
          <w:szCs w:val="18"/>
        </w:rPr>
        <w:t xml:space="preserve">CONFIDENTIAL — Prepared by [Your Organization] for Contoso Financial. Ref: BEC-2025-0908. Distribution limited to authorized recipients.</w:t>
      </w:r>
    </w:p>
    <w:sectPr>
      <w:pgSz w:w="12240" w:h="15840" w:orient="portrait"/>
      <w:pgMar w:top="1152"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2026-07-31T06:23:50.716Z</dcterms:created>
  <dcterms:modified xsi:type="dcterms:W3CDTF">2026-07-31T06:23:50.793Z</dcterms:modified>
</cp:coreProperties>
</file>

<file path=docProps/custom.xml><?xml version="1.0" encoding="utf-8"?>
<Properties xmlns="http://schemas.openxmlformats.org/officeDocument/2006/custom-properties" xmlns:vt="http://schemas.openxmlformats.org/officeDocument/2006/docPropsVTypes"/>
</file>