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DECEA" w:color="auto" w:val="clear"/>
        <w:spacing w:after="120"/>
      </w:pPr>
      <w:r>
        <w:rPr>
          <w:rFonts w:ascii="Calibri" w:cs="Calibri" w:eastAsia="Calibri" w:hAnsi="Calibri"/>
          <w:b/>
          <w:bCs/>
          <w:color w:val="9C2A2A"/>
          <w:sz w:val="20"/>
          <w:szCs w:val="20"/>
        </w:rPr>
        <w:t xml:space="preserve">INTERNAL USE ONLY: Not for client or external distribution</w:t>
      </w:r>
    </w:p>
    <w:p>
      <w:pPr>
        <w:spacing w:after="120"/>
      </w:pPr>
      <w:r>
        <w:rPr>
          <w:rFonts w:ascii="Calibri" w:cs="Calibri" w:eastAsia="Calibri" w:hAnsi="Calibri"/>
          <w:b/>
          <w:bCs/>
          <w:color w:val="2F5496"/>
          <w:sz w:val="40"/>
          <w:szCs w:val="40"/>
        </w:rPr>
        <w:t xml:space="preserve">Incident Response Post-Mortem</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400"/>
        <w:gridCol w:w="6680"/>
      </w:tblGrid>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Reference</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BEC-2025-0908</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Client</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Contoso Financial (redact for wide distribution)</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Date Range</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8–29, 2025</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Detection Date</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29, 2025 (administrator discovery via SharePoint anomaly)</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Containment Date</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September 29, 2025, 19:41 UTC</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Post-Mortem Date</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[within two weeks of closure]</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Facilitator</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[Facilitator Name]</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Attendees</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 names / roles]</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Distribution</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 [team/department]</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Classification</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 USE ONLY: Not for client or external distribution</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1. Incident Summary</w:t>
      </w:r>
    </w:p>
    <w:p>
      <w:pPr>
        <w:spacing w:after="120" w:before="0" w:line="264"/>
      </w:pPr>
      <w:r>
        <w:rPr>
          <w:rFonts w:ascii="Calibri" w:cs="Calibri" w:eastAsia="Calibri" w:hAnsi="Calibri"/>
          <w:b w:val="false"/>
          <w:bCs w:val="false"/>
          <w:i w:val="false"/>
          <w:iCs w:val="false"/>
          <w:color w:val="1A1A1A"/>
          <w:sz w:val="22"/>
          <w:szCs w:val="22"/>
        </w:rPr>
        <w:t xml:space="preserve">A finance user at Contoso Financial was compromised via AiTM on September 8, 2025, and the attacker held access for 21 days by self-registering MFA. They read 1,500+ items, touched SharePoint/OneDrive/Teams, and staged a wire-fraud scheme via interception rules across three accounts. An admin found it on September 29 and we executed full containment on betty20. Related accounts need investigation. Full findings are in the investigation report (Ref BEC-2025-0908).</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2. Response Timeline</w:t>
      </w:r>
    </w:p>
    <w:p>
      <w:pPr>
        <w:spacing w:after="120" w:before="0" w:line="264"/>
      </w:pPr>
      <w:r>
        <w:rPr>
          <w:rFonts w:ascii="Calibri" w:cs="Calibri" w:eastAsia="Calibri" w:hAnsi="Calibri"/>
          <w:b w:val="false"/>
          <w:bCs w:val="false"/>
          <w:i/>
          <w:iCs/>
          <w:color w:val="666666"/>
          <w:sz w:val="20"/>
          <w:szCs w:val="20"/>
        </w:rPr>
        <w:t xml:space="preserve">Our actions and information received (not the attacker's timeline). Times in UTC.</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600"/>
        <w:gridCol w:w="3600"/>
        <w:gridCol w:w="2530"/>
      </w:tblGrid>
      <w:tr>
        <w:trPr>
          <w:tblHeader/>
        </w:trPr>
        <w:tc>
          <w:tcPr>
            <w:tcW w:type="dxa" w:w="195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1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Who</w:t>
            </w:r>
          </w:p>
        </w:tc>
        <w:tc>
          <w:tcPr>
            <w:tcW w:type="dxa" w:w="3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Event</w:t>
            </w:r>
          </w:p>
        </w:tc>
        <w:tc>
          <w:tcPr>
            <w:tcW w:type="dxa" w:w="253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2025-09-29 ~19:30</w:t>
            </w:r>
          </w:p>
        </w:tc>
        <w:tc>
          <w:tcPr>
            <w:tcW w:type="dxa" w:w="1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Client / Admin</w:t>
            </w:r>
          </w:p>
        </w:tc>
        <w:tc>
          <w:tcPr>
            <w:tcW w:type="dxa" w:w="3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sandoval42 noticed SharePoint anomaly and attempted wire fraud</w:t>
            </w:r>
          </w:p>
        </w:tc>
        <w:tc>
          <w:tcPr>
            <w:tcW w:type="dxa" w:w="253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Trigger</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2025-09-29 19:41</w:t>
            </w:r>
          </w:p>
        </w:tc>
        <w:tc>
          <w:tcPr>
            <w:tcW w:type="dxa" w:w="1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 / Admin</w:t>
            </w:r>
          </w:p>
        </w:tc>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Disabled betty20; reset password; revoked sessions/tokens</w:t>
            </w:r>
          </w:p>
        </w:tc>
        <w:tc>
          <w:tcPr>
            <w:tcW w:type="dxa" w:w="253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Containment</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2025-09-29 20:03</w:t>
            </w:r>
          </w:p>
        </w:tc>
        <w:tc>
          <w:tcPr>
            <w:tcW w:type="dxa" w:w="1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 / Admin</w:t>
            </w:r>
          </w:p>
        </w:tc>
        <w:tc>
          <w:tcPr>
            <w:tcW w:type="dxa" w:w="3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Removed attacker MFA method; deleted 4 inbox rules</w:t>
            </w:r>
          </w:p>
        </w:tc>
        <w:tc>
          <w:tcPr>
            <w:tcW w:type="dxa" w:w="253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Eradication</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2025-09-29 20:29</w:t>
            </w:r>
          </w:p>
        </w:tc>
        <w:tc>
          <w:tcPr>
            <w:tcW w:type="dxa" w:w="1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User</w:t>
            </w:r>
          </w:p>
        </w:tc>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Legitimate MFA re-registered</w:t>
            </w:r>
          </w:p>
        </w:tc>
        <w:tc>
          <w:tcPr>
            <w:tcW w:type="dxa" w:w="253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2025-09-29</w:t>
            </w:r>
          </w:p>
        </w:tc>
        <w:tc>
          <w:tcPr>
            <w:tcW w:type="dxa" w:w="1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3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Correlated 21-day timeline; surfaced green34/george26 related rules</w:t>
            </w:r>
          </w:p>
        </w:tc>
        <w:tc>
          <w:tcPr>
            <w:tcW w:type="dxa" w:w="253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Scope expansion</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3. What Went Well</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Containment on betty20 was correct and complete within about an hour of discovery, including the often-missed attacker-MFA removal.</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We used the “Morgan50” naming to connect mailbox rules to SharePoint and to find the related accounts, rather than treating betty20 in isolation.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Mailbox and SharePoint auditing were enabled, giving us a rich, defensible 21-day reconstruction.</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4. What Did Not Go Well</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attacker had 21 days of access; nothing detected the AiTM sign-in, the MFA self-registration, or the inbox rules.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Attacker MFA registration was possible at all, which is the crux of the persistence.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scheme spanned three accounts before discovery, and related-account remediation is still open at report time.</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5. Where We Got Lucky</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completed wire transfer was confirmed; the interception rules were staged and a fraudulent message was sent, but the fraud did not close. That outcome was not the result of our detection.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An administrator happened to notice SharePoint anomalies; absent that, the 21-day dwell could have extended much further.</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distinctive, reused “Morgan50” naming made the multi-account scheme discoverable; a more disciplined actor would have been harder to correlate.</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6. Root Causes of Response Gaps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000"/>
        <w:gridCol w:w="4680"/>
        <w:gridCol w:w="2000"/>
      </w:tblGrid>
      <w:tr>
        <w:trPr>
          <w:tblHeader/>
        </w:trPr>
        <w:tc>
          <w:tcPr>
            <w:tcW w:type="dxa" w:w="3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Surface Problem</w:t>
            </w:r>
          </w:p>
        </w:tc>
        <w:tc>
          <w:tcPr>
            <w:tcW w:type="dxa" w:w="46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Underlying Cause (5-Whys)</w:t>
            </w:r>
          </w:p>
        </w:tc>
        <w:tc>
          <w:tcPr>
            <w:tcW w:type="dxa" w:w="2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Category</w:t>
            </w:r>
          </w:p>
        </w:tc>
      </w:tr>
      <w:tr>
        <w:tc>
          <w:tcPr>
            <w:tcW w:type="dxa" w:w="3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21-day persistent access</w:t>
            </w:r>
          </w:p>
        </w:tc>
        <w:tc>
          <w:tcPr>
            <w:tcW w:type="dxa" w:w="4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 could self-register MFA; no phishing-resistant MFA</w:t>
            </w:r>
          </w:p>
        </w:tc>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Environment</w:t>
            </w:r>
          </w:p>
        </w:tc>
      </w:tr>
      <w:tr>
        <w:tc>
          <w:tcPr>
            <w:tcW w:type="dxa" w:w="3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 detection for 3 weeks</w:t>
            </w:r>
          </w:p>
        </w:tc>
        <w:tc>
          <w:tcPr>
            <w:tcW w:type="dxa" w:w="46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 alerting on MFA changes, inbox rules, or hosting-IP sign-ins</w:t>
            </w:r>
          </w:p>
        </w:tc>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Tooling</w:t>
            </w:r>
          </w:p>
        </w:tc>
      </w:tr>
      <w:tr>
        <w:tc>
          <w:tcPr>
            <w:tcW w:type="dxa" w:w="3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Multi-account scheme</w:t>
            </w:r>
          </w:p>
        </w:tc>
        <w:tc>
          <w:tcPr>
            <w:tcW w:type="dxa" w:w="4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Same weakness across accounts; no Conditional Access on hosting ASNs</w:t>
            </w:r>
          </w:p>
        </w:tc>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Environment</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7. Action Items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500"/>
        <w:gridCol w:w="4180"/>
        <w:gridCol w:w="1400"/>
        <w:gridCol w:w="1400"/>
        <w:gridCol w:w="1200"/>
        <w:gridCol w:w="1000"/>
      </w:tblGrid>
      <w:tr>
        <w:trPr>
          <w:tblHeader/>
        </w:trPr>
        <w:tc>
          <w:tcPr>
            <w:tcW w:type="dxa" w:w="5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w:t>
            </w:r>
          </w:p>
        </w:tc>
        <w:tc>
          <w:tcPr>
            <w:tcW w:type="dxa" w:w="41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Action</w:t>
            </w:r>
          </w:p>
        </w:tc>
        <w:tc>
          <w:tcPr>
            <w:tcW w:type="dxa" w:w="1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Owner</w:t>
            </w:r>
          </w:p>
        </w:tc>
        <w:tc>
          <w:tcPr>
            <w:tcW w:type="dxa" w:w="1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Due</w:t>
            </w:r>
          </w:p>
        </w:tc>
        <w:tc>
          <w:tcPr>
            <w:tcW w:type="dxa" w:w="1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Priority</w:t>
            </w:r>
          </w:p>
        </w:tc>
        <w:tc>
          <w:tcPr>
            <w:tcW w:type="dxa" w:w="1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Status</w:t>
            </w:r>
          </w:p>
        </w:tc>
      </w:tr>
      <w:tr>
        <w:tc>
          <w:tcPr>
            <w:tcW w:type="dxa" w:w="5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w:t>
            </w:r>
          </w:p>
        </w:tc>
        <w:tc>
          <w:tcPr>
            <w:tcW w:type="dxa" w:w="41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Investigate/remediate green34, george26, and betty20.deborah51</w:t>
            </w:r>
          </w:p>
        </w:tc>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[Owner]</w:t>
            </w:r>
          </w:p>
        </w:tc>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[+3 days]</w:t>
            </w:r>
          </w:p>
        </w:tc>
        <w:tc>
          <w:tcPr>
            <w:tcW w:type="dxa" w:w="1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High</w:t>
            </w:r>
          </w:p>
        </w:tc>
        <w:tc>
          <w:tcPr>
            <w:tcW w:type="dxa" w:w="1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Open</w:t>
            </w:r>
          </w:p>
        </w:tc>
      </w:tr>
      <w:tr>
        <w:tc>
          <w:tcPr>
            <w:tcW w:type="dxa" w:w="5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w:t>
            </w:r>
          </w:p>
        </w:tc>
        <w:tc>
          <w:tcPr>
            <w:tcW w:type="dxa" w:w="41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Restrict MFA-method registration (admin approval / step-up)</w:t>
            </w:r>
          </w:p>
        </w:tc>
        <w:tc>
          <w:tcPr>
            <w:tcW w:type="dxa" w:w="1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[Owner]</w:t>
            </w:r>
          </w:p>
        </w:tc>
        <w:tc>
          <w:tcPr>
            <w:tcW w:type="dxa" w:w="1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[+14 days]</w:t>
            </w:r>
          </w:p>
        </w:tc>
        <w:tc>
          <w:tcPr>
            <w:tcW w:type="dxa" w:w="1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High</w:t>
            </w:r>
          </w:p>
        </w:tc>
        <w:tc>
          <w:tcPr>
            <w:tcW w:type="dxa" w:w="1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Open</w:t>
            </w:r>
          </w:p>
        </w:tc>
      </w:tr>
      <w:tr>
        <w:tc>
          <w:tcPr>
            <w:tcW w:type="dxa" w:w="5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3</w:t>
            </w:r>
          </w:p>
        </w:tc>
        <w:tc>
          <w:tcPr>
            <w:tcW w:type="dxa" w:w="41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Add alerts: new MFA registration; inbox rules; hosting-IP sign-ins</w:t>
            </w:r>
          </w:p>
        </w:tc>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[Owner]</w:t>
            </w:r>
          </w:p>
        </w:tc>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[+21 days]</w:t>
            </w:r>
          </w:p>
        </w:tc>
        <w:tc>
          <w:tcPr>
            <w:tcW w:type="dxa" w:w="1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High</w:t>
            </w:r>
          </w:p>
        </w:tc>
        <w:tc>
          <w:tcPr>
            <w:tcW w:type="dxa" w:w="1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Open</w:t>
            </w:r>
          </w:p>
        </w:tc>
      </w:tr>
      <w:tr>
        <w:tc>
          <w:tcPr>
            <w:tcW w:type="dxa" w:w="5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4</w:t>
            </w:r>
          </w:p>
        </w:tc>
        <w:tc>
          <w:tcPr>
            <w:tcW w:type="dxa" w:w="41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Verify no wire transfers were redirected; notify counterparties</w:t>
            </w:r>
          </w:p>
        </w:tc>
        <w:tc>
          <w:tcPr>
            <w:tcW w:type="dxa" w:w="1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[Owner]</w:t>
            </w:r>
          </w:p>
        </w:tc>
        <w:tc>
          <w:tcPr>
            <w:tcW w:type="dxa" w:w="1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[+7 days]</w:t>
            </w:r>
          </w:p>
        </w:tc>
        <w:tc>
          <w:tcPr>
            <w:tcW w:type="dxa" w:w="1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High</w:t>
            </w:r>
          </w:p>
        </w:tc>
        <w:tc>
          <w:tcPr>
            <w:tcW w:type="dxa" w:w="1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Open</w:t>
            </w:r>
          </w:p>
        </w:tc>
      </w:tr>
      <w:tr>
        <w:tc>
          <w:tcPr>
            <w:tcW w:type="dxa" w:w="5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5</w:t>
            </w:r>
          </w:p>
        </w:tc>
        <w:tc>
          <w:tcPr>
            <w:tcW w:type="dxa" w:w="41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Deploy phishing-resistant MFA for finance/privileged users</w:t>
            </w:r>
          </w:p>
        </w:tc>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[Owner]</w:t>
            </w:r>
          </w:p>
        </w:tc>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[+45 days]</w:t>
            </w:r>
          </w:p>
        </w:tc>
        <w:tc>
          <w:tcPr>
            <w:tcW w:type="dxa" w:w="1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Medium</w:t>
            </w:r>
          </w:p>
        </w:tc>
        <w:tc>
          <w:tcPr>
            <w:tcW w:type="dxa" w:w="1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Open</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8. Tooling and Playbook Changes</w:t>
      </w:r>
    </w:p>
    <w:p>
      <w:pPr>
        <w:pStyle w:val="Heading2"/>
        <w:keepNext/>
        <w:spacing w:after="80" w:before="180"/>
      </w:pPr>
      <w:r>
        <w:rPr>
          <w:rFonts w:ascii="Calibri" w:cs="Calibri" w:eastAsia="Calibri" w:hAnsi="Calibri"/>
          <w:b/>
          <w:bCs/>
          <w:color w:val="2F5496"/>
          <w:sz w:val="24"/>
          <w:szCs w:val="24"/>
        </w:rPr>
        <w:t xml:space="preserve">8.1 Scripts and Tools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Add tenant-wide inbox-rule correlation (by external sender and folder name) to surface multi-account schemes early.</w:t>
      </w:r>
    </w:p>
    <w:p>
      <w:pPr>
        <w:pStyle w:val="Heading2"/>
        <w:keepNext/>
        <w:spacing w:after="80" w:before="180"/>
      </w:pPr>
      <w:r>
        <w:rPr>
          <w:rFonts w:ascii="Calibri" w:cs="Calibri" w:eastAsia="Calibri" w:hAnsi="Calibri"/>
          <w:b/>
          <w:bCs/>
          <w:color w:val="2F5496"/>
          <w:sz w:val="24"/>
          <w:szCs w:val="24"/>
        </w:rPr>
        <w:t xml:space="preserve">8.2 Playbook and Runbook Updates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For any AiTM case, check for attacker MFA registration first; treat password reset alone as insufficient.</w:t>
      </w:r>
    </w:p>
    <w:p>
      <w:pPr>
        <w:pStyle w:val="Heading2"/>
        <w:keepNext/>
        <w:spacing w:after="80" w:before="180"/>
      </w:pPr>
      <w:r>
        <w:rPr>
          <w:rFonts w:ascii="Calibri" w:cs="Calibri" w:eastAsia="Calibri" w:hAnsi="Calibri"/>
          <w:b/>
          <w:bCs/>
          <w:color w:val="2F5496"/>
          <w:sz w:val="24"/>
          <w:szCs w:val="24"/>
        </w:rPr>
        <w:t xml:space="preserve">8.3 Detection and Alerting</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Alert on new MFA method registration.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Alert on inbox-rule creation and on SharePoint access from hosting IPs.</w:t>
      </w:r>
    </w:p>
    <w:p>
      <w:pPr>
        <w:pStyle w:val="Heading2"/>
        <w:keepNext/>
        <w:spacing w:after="80" w:before="180"/>
      </w:pPr>
      <w:r>
        <w:rPr>
          <w:rFonts w:ascii="Calibri" w:cs="Calibri" w:eastAsia="Calibri" w:hAnsi="Calibri"/>
          <w:b/>
          <w:bCs/>
          <w:color w:val="2F5496"/>
          <w:sz w:val="24"/>
          <w:szCs w:val="24"/>
        </w:rPr>
        <w:t xml:space="preserve">8.4 Documentation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KB: linking mailbox-rule folder names to SharePoint lists to detect coordinated wire-fraud schemes, owner [Owner].</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9. Training and Knowledge Gaps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Brief the team on attacker-MFA-registration persistence and on recognizing wire-fraud interception-rule patterns.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Reinforce out-of-band wire-verification guidance with the client’s finance team.</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10. Client Relationship Notes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Financial institution; regulatory and counterparty notification likely, coordinate with counsel early.</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Administrator (sandoval42) is engaged and capable; establish a faster escalation path to shorten dwell next time.</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11. Response Metrics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4200"/>
        <w:gridCol w:w="5880"/>
      </w:tblGrid>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Dwell time (compromise to detection)</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~21 days</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Detection to containment</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~10 minutes</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Accounts affected</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 primary + 2 related + 1 secondary identity</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Mailbox items read</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1,500+ (1,568 events)</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SharePoint/OneDrive events</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60</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Persistence artifacts</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 MFA + 4 inbox rules</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Confirmed financial loss</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$0 (attempted wire fraud)</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12. Open Questions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Were any wire transfers actually redirected or altered? Requires client/bank confirmation.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What is the full scope of green34, george26, and betty20.deborah51? Separate investigation pending.</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How was the initial AiTM lure delivered? The originating message was not recovered.</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13. Follow-Up Schedule</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900"/>
        <w:gridCol w:w="1900"/>
        <w:gridCol w:w="1900"/>
        <w:gridCol w:w="4080"/>
      </w:tblGrid>
      <w:tr>
        <w:trPr>
          <w:tblHeader/>
        </w:trPr>
        <w:tc>
          <w:tcPr>
            <w:tcW w:type="dxa" w:w="1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Checkpoint</w:t>
            </w:r>
          </w:p>
        </w:tc>
        <w:tc>
          <w:tcPr>
            <w:tcW w:type="dxa" w:w="1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Date</w:t>
            </w:r>
          </w:p>
        </w:tc>
        <w:tc>
          <w:tcPr>
            <w:tcW w:type="dxa" w:w="1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Owner</w:t>
            </w:r>
          </w:p>
        </w:tc>
        <w:tc>
          <w:tcPr>
            <w:tcW w:type="dxa" w:w="40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What to Review</w:t>
            </w:r>
          </w:p>
        </w:tc>
      </w:tr>
      <w:tr>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30 days</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[date]</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[Owner]</w:t>
            </w:r>
          </w:p>
        </w:tc>
        <w:tc>
          <w:tcPr>
            <w:tcW w:type="dxa" w:w="40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Confirm related-account remediation, MFA-registration restriction, and wire verification</w:t>
            </w:r>
          </w:p>
        </w:tc>
      </w:tr>
      <w:tr>
        <w:tc>
          <w:tcPr>
            <w:tcW w:type="dxa" w:w="1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60 days</w:t>
            </w:r>
          </w:p>
        </w:tc>
        <w:tc>
          <w:tcPr>
            <w:tcW w:type="dxa" w:w="1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[date]</w:t>
            </w:r>
          </w:p>
        </w:tc>
        <w:tc>
          <w:tcPr>
            <w:tcW w:type="dxa" w:w="1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[Owner]</w:t>
            </w:r>
          </w:p>
        </w:tc>
        <w:tc>
          <w:tcPr>
            <w:tcW w:type="dxa" w:w="40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 detection coverage for MFA/rule/hosting-IP events</w:t>
            </w:r>
          </w:p>
        </w:tc>
      </w:tr>
      <w:tr>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90 days</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[date]</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[Owner]</w:t>
            </w:r>
          </w:p>
        </w:tc>
        <w:tc>
          <w:tcPr>
            <w:tcW w:type="dxa" w:w="40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Verify no recurrence; assess continuous-monitoring adoption</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14. References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Investigation Report, Contoso Financial, v1.0, September 29, 2025 (Ref BEC-2025-0908).</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Attestation Letter (if issued), September 29, 2025.</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Ticket / Case: BEC-2025-0908.</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Revision History</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2200"/>
        <w:gridCol w:w="2600"/>
        <w:gridCol w:w="3480"/>
      </w:tblGrid>
      <w:tr>
        <w:trPr>
          <w:tblHeader/>
        </w:trPr>
        <w:tc>
          <w:tcPr>
            <w:tcW w:type="dxa" w:w="1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Version</w:t>
            </w:r>
          </w:p>
        </w:tc>
        <w:tc>
          <w:tcPr>
            <w:tcW w:type="dxa" w:w="2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Date</w:t>
            </w:r>
          </w:p>
        </w:tc>
        <w:tc>
          <w:tcPr>
            <w:tcW w:type="dxa" w:w="2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Author</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Change Summary</w:t>
            </w:r>
          </w:p>
        </w:tc>
      </w:tr>
      <w:tr>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0.1</w:t>
            </w:r>
          </w:p>
        </w:tc>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[within two weeks of closure]</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[Facilitator]</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Initial draft from post-mortem meeting.</w:t>
            </w:r>
          </w:p>
        </w:tc>
      </w:tr>
      <w:tr>
        <w:tc>
          <w:tcPr>
            <w:tcW w:type="dxa" w:w="1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1.0</w:t>
            </w:r>
          </w:p>
        </w:tc>
        <w:tc>
          <w:tcPr>
            <w:tcW w:type="dxa" w:w="2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[within two weeks of closure]</w:t>
            </w:r>
          </w:p>
        </w:tc>
        <w:tc>
          <w:tcPr>
            <w:tcW w:type="dxa" w:w="2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[Facilitator]</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Final; action items tracked separately.</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666666"/>
        <w:sz w:val="16"/>
        <w:szCs w:val="16"/>
      </w:rPr>
      <w:t xml:space="preserve">INTERNAL USE ONLY · BEC-2025-0908</w:t>
    </w:r>
    <w:r>
      <w:rPr>
        <w:rFonts w:ascii="Calibri" w:cs="Calibri" w:eastAsia="Calibri" w:hAnsi="Calibri"/>
        <w:sz w:val="16"/>
        <w:szCs w:val="16"/>
      </w:rPr>
      <w:t xml:space="preserve">	</w:t>
    </w:r>
    <w:r>
      <w:rPr>
        <w:rFonts w:ascii="Calibri" w:cs="Calibri" w:eastAsia="Calibri" w:hAnsi="Calibri"/>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F5496"/>
      <w:sz w:val="28"/>
      <w:szCs w:val="28"/>
    </w:rPr>
  </w:style>
  <w:style w:type="paragraph" w:styleId="Heading2">
    <w:name w:val="Heading 2"/>
    <w:basedOn w:val="Normal"/>
    <w:next w:val="Normal"/>
    <w:qFormat/>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Contoso Financial Post-Mortem</dc:title>
  <dc:creator>[Your Organization]</dc:creator>
  <cp:lastModifiedBy>Un-named</cp:lastModifiedBy>
  <cp:revision>1</cp:revision>
  <dcterms:created xsi:type="dcterms:W3CDTF">2026-07-31T07:35:17.519Z</dcterms:created>
  <dcterms:modified xsi:type="dcterms:W3CDTF">2026-07-31T07:35:17.519Z</dcterms:modified>
</cp:coreProperties>
</file>

<file path=docProps/custom.xml><?xml version="1.0" encoding="utf-8"?>
<Properties xmlns="http://schemas.openxmlformats.org/officeDocument/2006/custom-properties" xmlns:vt="http://schemas.openxmlformats.org/officeDocument/2006/docPropsVTypes"/>
</file>