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496"/>
          <w:sz w:val="28"/>
          <w:szCs w:val="28"/>
        </w:rPr>
        <w:t xml:space="preserve">[LOGO]  [Your Organization]</w:t>
      </w:r>
    </w:p>
    <w:p>
      <w:pPr>
        <w:pBdr>
          <w:bottom w:val="single" w:color="2F5496" w:sz="6" w:space="2"/>
        </w:pBdr>
        <w:spacing w:after="0"/>
      </w:pPr>
      <w:r>
        <w:rPr>
          <w:rFonts w:ascii="Calibri" w:cs="Calibri" w:eastAsia="Calibri" w:hAnsi="Calibri"/>
          <w:color w:val="666666"/>
          <w:sz w:val="18"/>
          <w:szCs w:val="18"/>
        </w:rPr>
        <w:t xml:space="preserve">[Street Address] · [City, State ZIP] · [Phone] · [Email] · [Website]</w:t>
      </w:r>
    </w:p>
    <w:p>
      <w:pPr>
        <w:spacing w:after="160" w:before="160" w:line="264"/>
      </w:pPr>
      <w:r>
        <w:rPr>
          <w:rFonts w:ascii="Calibri" w:cs="Calibri" w:eastAsia="Calibri" w:hAnsi="Calibri"/>
          <w:b/>
          <w:bCs/>
          <w:i w:val="false"/>
          <w:iCs w:val="false"/>
          <w:color w:val="666666"/>
          <w:sz w:val="20"/>
          <w:szCs w:val="20"/>
        </w:rPr>
        <w:t xml:space="preserve">CONFIDENTIAL</w:t>
      </w:r>
    </w:p>
    <w:p>
      <w:pPr>
        <w:spacing w:after="120" w:before="0" w:line="264"/>
      </w:pPr>
      <w:r>
        <w:rPr>
          <w:rFonts w:ascii="Calibri" w:cs="Calibri" w:eastAsia="Calibri" w:hAnsi="Calibri"/>
          <w:b w:val="false"/>
          <w:bCs w:val="false"/>
          <w:i w:val="false"/>
          <w:iCs w:val="false"/>
          <w:color w:val="1A1A1A"/>
          <w:sz w:val="22"/>
          <w:szCs w:val="22"/>
        </w:rPr>
        <w:t xml:space="preserve">July 29, 2026</w:t>
      </w:r>
    </w:p>
    <w:p>
      <w:pPr>
        <w:spacing w:after="0" w:before="0" w:line="264"/>
      </w:pPr>
      <w:r>
        <w:rPr>
          <w:rFonts w:ascii="Calibri" w:cs="Calibri" w:eastAsia="Calibri" w:hAnsi="Calibri"/>
          <w:b w:val="false"/>
          <w:bCs w:val="false"/>
          <w:i w:val="false"/>
          <w:iCs w:val="false"/>
          <w:color w:val="1A1A1A"/>
          <w:sz w:val="22"/>
          <w:szCs w:val="22"/>
        </w:rPr>
        <w:t xml:space="preserve">[Recipient Name]</w:t>
      </w:r>
    </w:p>
    <w:p>
      <w:pPr>
        <w:spacing w:after="0" w:before="0" w:line="264"/>
      </w:pPr>
      <w:r>
        <w:rPr>
          <w:rFonts w:ascii="Calibri" w:cs="Calibri" w:eastAsia="Calibri" w:hAnsi="Calibri"/>
          <w:b w:val="false"/>
          <w:bCs w:val="false"/>
          <w:i w:val="false"/>
          <w:iCs w:val="false"/>
          <w:color w:val="1A1A1A"/>
          <w:sz w:val="22"/>
          <w:szCs w:val="22"/>
        </w:rPr>
        <w:t xml:space="preserve">[Recipient Title]</w:t>
      </w:r>
    </w:p>
    <w:p>
      <w:pPr>
        <w:spacing w:after="0" w:before="0" w:line="264"/>
      </w:pPr>
      <w:r>
        <w:rPr>
          <w:rFonts w:ascii="Calibri" w:cs="Calibri" w:eastAsia="Calibri" w:hAnsi="Calibri"/>
          <w:b w:val="false"/>
          <w:bCs w:val="false"/>
          <w:i w:val="false"/>
          <w:iCs w:val="false"/>
          <w:color w:val="1A1A1A"/>
          <w:sz w:val="22"/>
          <w:szCs w:val="22"/>
        </w:rPr>
        <w:t xml:space="preserve">[Recipient Organization]</w:t>
      </w:r>
    </w:p>
    <w:p>
      <w:pPr>
        <w:spacing w:after="160" w:before="0" w:line="264"/>
      </w:pPr>
      <w:r>
        <w:rPr>
          <w:rFonts w:ascii="Calibri" w:cs="Calibri" w:eastAsia="Calibri" w:hAnsi="Calibri"/>
          <w:b w:val="false"/>
          <w:bCs w:val="false"/>
          <w:i w:val="false"/>
          <w:iCs w:val="false"/>
          <w:color w:val="1A1A1A"/>
          <w:sz w:val="22"/>
          <w:szCs w:val="22"/>
        </w:rPr>
        <w:t xml:space="preserve">[Address]</w:t>
      </w:r>
    </w:p>
    <w:p>
      <w:pPr>
        <w:spacing w:after="160" w:before="0" w:line="264"/>
      </w:pPr>
      <w:r>
        <w:rPr>
          <w:rFonts w:ascii="Calibri" w:cs="Calibri" w:eastAsia="Calibri" w:hAnsi="Calibri"/>
          <w:b/>
          <w:bCs/>
          <w:i w:val="false"/>
          <w:iCs w:val="false"/>
          <w:color w:val="1A1A1A"/>
          <w:sz w:val="22"/>
          <w:szCs w:val="22"/>
        </w:rPr>
        <w:t xml:space="preserve">Re:  Attestation of Investigation - Business Email Compromise Incident (Waverly Manufacturing, Ref BEC-2026-0724)</w:t>
      </w:r>
    </w:p>
    <w:p>
      <w:pPr>
        <w:spacing w:after="120" w:before="0" w:line="264"/>
      </w:pPr>
      <w:r>
        <w:rPr>
          <w:rFonts w:ascii="Calibri" w:cs="Calibri" w:eastAsia="Calibri" w:hAnsi="Calibri"/>
          <w:b w:val="false"/>
          <w:bCs w:val="false"/>
          <w:i w:val="false"/>
          <w:iCs w:val="false"/>
          <w:color w:val="1A1A1A"/>
          <w:sz w:val="22"/>
          <w:szCs w:val="22"/>
        </w:rPr>
        <w:t xml:space="preserve">Dear [Recipient Name / To Whom It May Concern]:</w:t>
      </w:r>
    </w:p>
    <w:p>
      <w:pPr>
        <w:spacing w:after="120" w:before="0" w:line="264"/>
      </w:pPr>
      <w:r>
        <w:rPr>
          <w:rFonts w:ascii="Calibri" w:cs="Calibri" w:eastAsia="Calibri" w:hAnsi="Calibri"/>
          <w:b w:val="false"/>
          <w:bCs w:val="false"/>
          <w:i w:val="false"/>
          <w:iCs w:val="false"/>
          <w:color w:val="1A1A1A"/>
          <w:sz w:val="22"/>
          <w:szCs w:val="22"/>
        </w:rPr>
        <w:t xml:space="preserve">This letter attests to the findings of an investigation conducted by [Your Organization] (hereinafter “[Short Name]”) into a business email compromise incident, involving attempted wire fraud, affecting the Microsoft 365 tenant of Waverly Manufacturing (primary domain 854jpt.onmicrosoft.com), which began on or about July 24, 2026 and was investigated under engagement reference BEC-2026-0724. It summarizes the scope, findings, and remediation status of that investigation and supports Waverly Manufacturing’s communications with the named recipient.</w:t>
      </w:r>
    </w:p>
    <w:p>
      <w:pPr>
        <w:keepNext/>
        <w:spacing w:after="60" w:before="160"/>
      </w:pPr>
      <w:r>
        <w:rPr>
          <w:rFonts w:ascii="Calibri" w:cs="Calibri" w:eastAsia="Calibri" w:hAnsi="Calibri"/>
          <w:b/>
          <w:bCs/>
          <w:color w:val="2F5496"/>
          <w:sz w:val="24"/>
          <w:szCs w:val="24"/>
        </w:rPr>
        <w:t xml:space="preserve">Investigator Qualifications</w:t>
      </w:r>
    </w:p>
    <w:p>
      <w:pPr>
        <w:spacing w:after="120" w:before="0" w:line="264"/>
      </w:pPr>
      <w:r>
        <w:rPr>
          <w:rFonts w:ascii="Calibri" w:cs="Calibri" w:eastAsia="Calibri" w:hAnsi="Calibri"/>
          <w:b w:val="false"/>
          <w:bCs w:val="false"/>
          <w:i w:val="false"/>
          <w:iCs w:val="false"/>
          <w:color w:val="1A1A1A"/>
          <w:sz w:val="22"/>
          <w:szCs w:val="22"/>
        </w:rPr>
        <w:t xml:space="preserve">[Your Organization] provides digital forensics and incident response services focused on Microsoft 365 and Entra ID intrusions, including wire-fraud matters. The lead investigator, [Investigator Name], holds [certifications, e.g., GCIH, GCFA] and has conducted numerous business email compromise investigations.</w:t>
      </w:r>
    </w:p>
    <w:p>
      <w:pPr>
        <w:keepNext/>
        <w:spacing w:after="60" w:before="160"/>
      </w:pPr>
      <w:r>
        <w:rPr>
          <w:rFonts w:ascii="Calibri" w:cs="Calibri" w:eastAsia="Calibri" w:hAnsi="Calibri"/>
          <w:b/>
          <w:bCs/>
          <w:color w:val="2F5496"/>
          <w:sz w:val="24"/>
          <w:szCs w:val="24"/>
        </w:rPr>
        <w:t xml:space="preserve">Incident Summary</w:t>
      </w:r>
    </w:p>
    <w:p>
      <w:pPr>
        <w:spacing w:after="120" w:before="0" w:line="264"/>
      </w:pPr>
      <w:r>
        <w:rPr>
          <w:rFonts w:ascii="Calibri" w:cs="Calibri" w:eastAsia="Calibri" w:hAnsi="Calibri"/>
          <w:b w:val="false"/>
          <w:bCs w:val="false"/>
          <w:i w:val="false"/>
          <w:iCs w:val="false"/>
          <w:color w:val="1A1A1A"/>
          <w:sz w:val="22"/>
          <w:szCs w:val="22"/>
        </w:rPr>
        <w:t xml:space="preserve">The investigation determined that two accounts, “PattiF@854jpt.onmicrosoft.com” and “PradeepG@854jpt.onmicrosoft.com,” were compromised on July 24, 2026 via an adversary-in-the-middle phishing lure, from hosting infrastructure (M247 Europe SRL, Dubai). Within minutes the threat actor registered its own MFA method on PattiF, created a financial-keyword deletion rule, configured external forwarding, and hijacked an existing invoice thread to send a fraudulent reply to an internal accounts-payable contact. A third account (DiegoS) was targeted. The incident was identified from a wire-fraud report and Entra ID risk detections.</w:t>
      </w:r>
    </w:p>
    <w:p>
      <w:pPr>
        <w:keepNext/>
        <w:spacing w:after="60" w:before="160"/>
      </w:pPr>
      <w:r>
        <w:rPr>
          <w:rFonts w:ascii="Calibri" w:cs="Calibri" w:eastAsia="Calibri" w:hAnsi="Calibri"/>
          <w:b/>
          <w:bCs/>
          <w:color w:val="2F5496"/>
          <w:sz w:val="24"/>
          <w:szCs w:val="24"/>
        </w:rPr>
        <w:t xml:space="preserve">Scope of Investigation</w:t>
      </w:r>
    </w:p>
    <w:p>
      <w:pPr>
        <w:spacing w:after="120" w:before="0" w:line="264"/>
      </w:pPr>
      <w:r>
        <w:rPr>
          <w:rFonts w:ascii="Calibri" w:cs="Calibri" w:eastAsia="Calibri" w:hAnsi="Calibri"/>
          <w:b w:val="false"/>
          <w:bCs w:val="false"/>
          <w:i w:val="false"/>
          <w:iCs w:val="false"/>
          <w:color w:val="1A1A1A"/>
          <w:sz w:val="22"/>
          <w:szCs w:val="22"/>
        </w:rPr>
        <w:t xml:space="preserve">The evidence period spanned June 29 through July 29, 2026. Sources examined included Entra ID interactive sign-in logs, Entra ID audit logs, Entra ID risk detections, the Unified Audit Log, MailItemsAccessed events (available at the tenant’s licensing tier), mailbox rule and forwarding state, and message trace.</w:t>
      </w:r>
    </w:p>
    <w:p>
      <w:pPr>
        <w:keepNext/>
        <w:spacing w:after="60" w:before="160"/>
      </w:pPr>
      <w:r>
        <w:rPr>
          <w:rFonts w:ascii="Calibri" w:cs="Calibri" w:eastAsia="Calibri" w:hAnsi="Calibri"/>
          <w:b/>
          <w:bCs/>
          <w:color w:val="2F5496"/>
          <w:sz w:val="24"/>
          <w:szCs w:val="24"/>
        </w:rPr>
        <w:t xml:space="preserve">Investigation Status</w:t>
      </w:r>
    </w:p>
    <w:p>
      <w:pPr>
        <w:spacing w:after="120" w:before="0" w:line="264"/>
      </w:pPr>
      <w:r>
        <w:rPr>
          <w:rFonts w:ascii="Calibri" w:cs="Calibri" w:eastAsia="Calibri" w:hAnsi="Calibri"/>
          <w:b w:val="false"/>
          <w:bCs w:val="false"/>
          <w:i w:val="false"/>
          <w:iCs w:val="false"/>
          <w:color w:val="1A1A1A"/>
          <w:sz w:val="22"/>
          <w:szCs w:val="22"/>
        </w:rPr>
        <w:t xml:space="preserve">The investigation is complete. Containment, eradication, and recovery actions have been performed and verified, and the affected accounts have been re-secured.</w:t>
      </w:r>
    </w:p>
    <w:p>
      <w:pPr>
        <w:keepNext/>
        <w:spacing w:after="60" w:before="160"/>
      </w:pPr>
      <w:r>
        <w:rPr>
          <w:rFonts w:ascii="Calibri" w:cs="Calibri" w:eastAsia="Calibri" w:hAnsi="Calibri"/>
          <w:b/>
          <w:bCs/>
          <w:color w:val="2F5496"/>
          <w:sz w:val="24"/>
          <w:szCs w:val="24"/>
        </w:rPr>
        <w:t xml:space="preserve">Summary of Findings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Initial Access: </w:t>
      </w:r>
      <w:r>
        <w:rPr>
          <w:rFonts w:ascii="Calibri" w:cs="Calibri" w:eastAsia="Calibri" w:hAnsi="Calibri"/>
          <w:b w:val="false"/>
          <w:bCs w:val="false"/>
          <w:i w:val="false"/>
          <w:iCs w:val="false"/>
          <w:color w:val="1A1A1A"/>
          <w:sz w:val="22"/>
          <w:szCs w:val="22"/>
        </w:rPr>
        <w:t xml:space="preserve">Adversary-in-the-middle file-share phishing lure; sign-ins from hosting infrastructure (M247, Dubai).</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Persistence Mechanisms: </w:t>
      </w:r>
      <w:r>
        <w:rPr>
          <w:rFonts w:ascii="Calibri" w:cs="Calibri" w:eastAsia="Calibri" w:hAnsi="Calibri"/>
          <w:b w:val="false"/>
          <w:bCs w:val="false"/>
          <w:i w:val="false"/>
          <w:iCs w:val="false"/>
          <w:color w:val="1A1A1A"/>
          <w:sz w:val="22"/>
          <w:szCs w:val="22"/>
        </w:rPr>
        <w:t xml:space="preserve">Attacker-registered MFA on PattiF; a financial-keyword deletion inbox rule (“..”); external forwarding to a disposable address.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Duration of Unauthorized Access: </w:t>
      </w:r>
      <w:r>
        <w:rPr>
          <w:rFonts w:ascii="Calibri" w:cs="Calibri" w:eastAsia="Calibri" w:hAnsi="Calibri"/>
          <w:b w:val="false"/>
          <w:bCs w:val="false"/>
          <w:i w:val="false"/>
          <w:iCs w:val="false"/>
          <w:color w:val="1A1A1A"/>
          <w:sz w:val="22"/>
          <w:szCs w:val="22"/>
        </w:rPr>
        <w:t xml:space="preserve">Compromise activity concentrated on July 24, 2026.</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Financial Impact: </w:t>
      </w:r>
      <w:r>
        <w:rPr>
          <w:rFonts w:ascii="Calibri" w:cs="Calibri" w:eastAsia="Calibri" w:hAnsi="Calibri"/>
          <w:b w:val="false"/>
          <w:bCs w:val="false"/>
          <w:i w:val="false"/>
          <w:iCs w:val="false"/>
          <w:color w:val="1A1A1A"/>
          <w:sz w:val="22"/>
          <w:szCs w:val="22"/>
        </w:rPr>
        <w:t xml:space="preserve">No completed fraudulent transfer was confirmed; the threat actor attempted wire fraud via an invoice-thread hijack.</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Lateral Movement: </w:t>
      </w:r>
      <w:r>
        <w:rPr>
          <w:rFonts w:ascii="Calibri" w:cs="Calibri" w:eastAsia="Calibri" w:hAnsi="Calibri"/>
          <w:b w:val="false"/>
          <w:bCs w:val="false"/>
          <w:i w:val="false"/>
          <w:iCs w:val="false"/>
          <w:color w:val="1A1A1A"/>
          <w:sz w:val="22"/>
          <w:szCs w:val="22"/>
        </w:rPr>
        <w:t xml:space="preserve">Two accounts were compromised in parallel and a third was targeted; a fraudulent message targeted an internal accounts-payable contact.</w:t>
      </w:r>
    </w:p>
    <w:p>
      <w:pPr>
        <w:keepNext/>
        <w:spacing w:after="60" w:before="160"/>
      </w:pPr>
      <w:r>
        <w:rPr>
          <w:rFonts w:ascii="Calibri" w:cs="Calibri" w:eastAsia="Calibri" w:hAnsi="Calibri"/>
          <w:b/>
          <w:bCs/>
          <w:color w:val="2F5496"/>
          <w:sz w:val="24"/>
          <w:szCs w:val="24"/>
        </w:rPr>
        <w:t xml:space="preserve">Data Exposure Assessment</w:t>
      </w:r>
    </w:p>
    <w:p>
      <w:pPr>
        <w:spacing w:after="120" w:before="0" w:line="264"/>
      </w:pPr>
      <w:r>
        <w:rPr>
          <w:rFonts w:ascii="Calibri" w:cs="Calibri" w:eastAsia="Calibri" w:hAnsi="Calibri"/>
          <w:b w:val="false"/>
          <w:bCs w:val="false"/>
          <w:i w:val="false"/>
          <w:iCs w:val="false"/>
          <w:color w:val="1A1A1A"/>
          <w:sz w:val="22"/>
          <w:szCs w:val="22"/>
        </w:rPr>
        <w:t xml:space="preserve">Specific access to mailbox contents was confirmed via MailItemsAccessed audit events (52 items in PattiF, 19 in PradeepG), and external forwarding created an egress channel. Data exposure is therefore confirmed for the affected mailboxes, limited to the evidence reviewed.</w:t>
      </w:r>
    </w:p>
    <w:p>
      <w:pPr>
        <w:keepNext/>
        <w:spacing w:after="60" w:before="160"/>
      </w:pPr>
      <w:r>
        <w:rPr>
          <w:rFonts w:ascii="Calibri" w:cs="Calibri" w:eastAsia="Calibri" w:hAnsi="Calibri"/>
          <w:b/>
          <w:bCs/>
          <w:color w:val="2F5496"/>
          <w:sz w:val="24"/>
          <w:szCs w:val="24"/>
        </w:rPr>
        <w:t xml:space="preserve">Remediation</w:t>
      </w:r>
    </w:p>
    <w:p>
      <w:pPr>
        <w:spacing w:after="120" w:before="0" w:line="264"/>
      </w:pPr>
      <w:r>
        <w:rPr>
          <w:rFonts w:ascii="Calibri" w:cs="Calibri" w:eastAsia="Calibri" w:hAnsi="Calibri"/>
          <w:b w:val="false"/>
          <w:bCs w:val="false"/>
          <w:i w:val="false"/>
          <w:iCs w:val="false"/>
          <w:color w:val="1A1A1A"/>
          <w:sz w:val="22"/>
          <w:szCs w:val="22"/>
        </w:rPr>
        <w:t xml:space="preserve">The following actions were directed and have been completed: PradeepG and PattiF were disabled and re-secured, with sessions and refresh tokens revoked; the attacker-registered MFA method on PattiF was removed; the “..” inbox rule and the external forwarding were removed; the DiegoS account was investigated and secured; and content searches were performed for correspondence to the attacker-controlled and disposable addresses. The recipients of the fraudulent invoice reply were notified and any in-flight payment was verified.</w:t>
      </w:r>
    </w:p>
    <w:p>
      <w:pPr>
        <w:spacing w:after="120" w:before="0" w:line="264"/>
      </w:pPr>
      <w:r>
        <w:rPr>
          <w:rFonts w:ascii="Calibri" w:cs="Calibri" w:eastAsia="Calibri" w:hAnsi="Calibri"/>
          <w:b w:val="false"/>
          <w:bCs w:val="false"/>
          <w:i w:val="false"/>
          <w:iCs w:val="false"/>
          <w:color w:val="1A1A1A"/>
          <w:sz w:val="22"/>
          <w:szCs w:val="22"/>
        </w:rPr>
        <w:t xml:space="preserve">Additional posture recommendations, including restricted MFA registration, blocking of external disposable-domain forwarding, and a response SLA for risk detections, are detailed in the referenced investigation report.</w:t>
      </w:r>
    </w:p>
    <w:p>
      <w:pPr>
        <w:keepNext/>
        <w:spacing w:after="60" w:before="160"/>
      </w:pPr>
      <w:r>
        <w:rPr>
          <w:rFonts w:ascii="Calibri" w:cs="Calibri" w:eastAsia="Calibri" w:hAnsi="Calibri"/>
          <w:b/>
          <w:bCs/>
          <w:color w:val="2F5496"/>
          <w:sz w:val="24"/>
          <w:szCs w:val="24"/>
        </w:rPr>
        <w:t xml:space="preserve">Attestation</w:t>
      </w:r>
    </w:p>
    <w:p>
      <w:pPr>
        <w:spacing w:after="120" w:before="0" w:line="264"/>
      </w:pPr>
      <w:r>
        <w:rPr>
          <w:rFonts w:ascii="Calibri" w:cs="Calibri" w:eastAsia="Calibri" w:hAnsi="Calibri"/>
          <w:b w:val="false"/>
          <w:bCs w:val="false"/>
          <w:i w:val="false"/>
          <w:iCs w:val="false"/>
          <w:color w:val="1A1A1A"/>
          <w:sz w:val="22"/>
          <w:szCs w:val="22"/>
        </w:rPr>
        <w:t xml:space="preserve">[Your Organization] attests that the statements above accurately reflect the findings of its investigation as of the date of this letter, based on the evidence reviewed and the methodology applied. This attestation is limited to the scope described and to the evidence available during the engagement. It is not legal advice and does not constitute a legal opinion.</w:t>
      </w:r>
    </w:p>
    <w:p>
      <w:pPr>
        <w:keepNext/>
        <w:spacing w:after="60" w:before="160"/>
      </w:pPr>
      <w:r>
        <w:rPr>
          <w:rFonts w:ascii="Calibri" w:cs="Calibri" w:eastAsia="Calibri" w:hAnsi="Calibri"/>
          <w:b/>
          <w:bCs/>
          <w:color w:val="2F5496"/>
          <w:sz w:val="24"/>
          <w:szCs w:val="24"/>
        </w:rPr>
        <w:t xml:space="preserve">Referenced Documents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Incident Investigation Report, Waverly Manufacturing, version 1.0, dated July 29, 2026 (Ref BEC-2026-0724).</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Engagement Letter / Statement of Work [reference and date].</w:t>
      </w:r>
    </w:p>
    <w:p>
      <w:pPr>
        <w:keepNext/>
        <w:spacing w:after="60" w:before="160"/>
      </w:pPr>
      <w:r>
        <w:rPr>
          <w:rFonts w:ascii="Calibri" w:cs="Calibri" w:eastAsia="Calibri" w:hAnsi="Calibri"/>
          <w:b/>
          <w:bCs/>
          <w:color w:val="2F5496"/>
          <w:sz w:val="24"/>
          <w:szCs w:val="24"/>
        </w:rPr>
        <w:t xml:space="preserve">Contact</w:t>
      </w:r>
    </w:p>
    <w:p>
      <w:pPr>
        <w:spacing w:after="120" w:before="0" w:line="264"/>
      </w:pPr>
      <w:r>
        <w:rPr>
          <w:rFonts w:ascii="Calibri" w:cs="Calibri" w:eastAsia="Calibri" w:hAnsi="Calibri"/>
          <w:b w:val="false"/>
          <w:bCs w:val="false"/>
          <w:i w:val="false"/>
          <w:iCs w:val="false"/>
          <w:color w:val="1A1A1A"/>
          <w:sz w:val="22"/>
          <w:szCs w:val="22"/>
        </w:rPr>
        <w:t xml:space="preserve">Questions regarding this attestation may be directed to the undersigned. Waverly Manufacturing has authorized the named recipient to contact [Your Organization] on matters within the scope described above.</w:t>
      </w:r>
    </w:p>
    <w:p>
      <w:pPr>
        <w:spacing w:after="320" w:before="200" w:line="264"/>
      </w:pPr>
      <w:r>
        <w:rPr>
          <w:rFonts w:ascii="Calibri" w:cs="Calibri" w:eastAsia="Calibri" w:hAnsi="Calibri"/>
          <w:b w:val="false"/>
          <w:bCs w:val="false"/>
          <w:i w:val="false"/>
          <w:iCs w:val="false"/>
          <w:color w:val="1A1A1A"/>
          <w:sz w:val="22"/>
          <w:szCs w:val="22"/>
        </w:rPr>
        <w:t xml:space="preserve">Sincerely,</w:t>
      </w:r>
    </w:p>
    <w:p>
      <w:pPr>
        <w:spacing w:after="0" w:before="0" w:line="264"/>
      </w:pPr>
      <w:r>
        <w:rPr>
          <w:rFonts w:ascii="Calibri" w:cs="Calibri" w:eastAsia="Calibri" w:hAnsi="Calibri"/>
          <w:b/>
          <w:bCs/>
          <w:i w:val="false"/>
          <w:iCs w:val="false"/>
          <w:color w:val="1A1A1A"/>
          <w:sz w:val="22"/>
          <w:szCs w:val="22"/>
        </w:rPr>
        <w:t xml:space="preserve">[Signer Full Name]</w:t>
      </w:r>
    </w:p>
    <w:p>
      <w:pPr>
        <w:spacing w:after="0" w:before="0" w:line="264"/>
      </w:pPr>
      <w:r>
        <w:rPr>
          <w:rFonts w:ascii="Calibri" w:cs="Calibri" w:eastAsia="Calibri" w:hAnsi="Calibri"/>
          <w:b w:val="false"/>
          <w:bCs w:val="false"/>
          <w:i w:val="false"/>
          <w:iCs w:val="false"/>
          <w:color w:val="1A1A1A"/>
          <w:sz w:val="22"/>
          <w:szCs w:val="22"/>
        </w:rPr>
        <w:t xml:space="preserve">[Title], [Certifications]</w:t>
      </w:r>
    </w:p>
    <w:p>
      <w:pPr>
        <w:spacing w:after="0" w:before="0" w:line="264"/>
      </w:pPr>
      <w:r>
        <w:rPr>
          <w:rFonts w:ascii="Calibri" w:cs="Calibri" w:eastAsia="Calibri" w:hAnsi="Calibri"/>
          <w:b w:val="false"/>
          <w:bCs w:val="false"/>
          <w:i w:val="false"/>
          <w:iCs w:val="false"/>
          <w:color w:val="1A1A1A"/>
          <w:sz w:val="22"/>
          <w:szCs w:val="22"/>
        </w:rPr>
        <w:t xml:space="preserve">[Your Organization]</w:t>
      </w:r>
    </w:p>
    <w:p>
      <w:pPr>
        <w:spacing w:after="160" w:before="0" w:line="264"/>
      </w:pPr>
      <w:r>
        <w:rPr>
          <w:rFonts w:ascii="Calibri" w:cs="Calibri" w:eastAsia="Calibri" w:hAnsi="Calibri"/>
          <w:b w:val="false"/>
          <w:bCs w:val="false"/>
          <w:i w:val="false"/>
          <w:iCs w:val="false"/>
          <w:color w:val="1A1A1A"/>
          <w:sz w:val="22"/>
          <w:szCs w:val="22"/>
        </w:rPr>
        <w:t xml:space="preserve">[Direct Email] · [Direct Phone]</w:t>
      </w:r>
    </w:p>
    <w:p>
      <w:pPr>
        <w:spacing w:after="120" w:before="0" w:line="264"/>
      </w:pPr>
      <w:r>
        <w:rPr>
          <w:rFonts w:ascii="Calibri" w:cs="Calibri" w:eastAsia="Calibri" w:hAnsi="Calibri"/>
          <w:b w:val="false"/>
          <w:bCs w:val="false"/>
          <w:i/>
          <w:iCs/>
          <w:color w:val="666666"/>
          <w:sz w:val="20"/>
          <w:szCs w:val="20"/>
        </w:rPr>
        <w:t xml:space="preserve">This letter states facts about the investigation described above. It is not legal advice and is not a legal opinion on breach-notification obligations, which are the responsibility of the client and its counsel. Distribution is limited to the recipient named above and parties the client has authorized.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Attestation · BEC-2026-0724</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Waverly Manufacturing Attestation Letter</dc:title>
  <dc:creator>[Your Organization]</dc:creator>
  <cp:lastModifiedBy>Un-named</cp:lastModifiedBy>
  <cp:revision>1</cp:revision>
  <dcterms:created xsi:type="dcterms:W3CDTF">2026-07-31T07:35:17.795Z</dcterms:created>
  <dcterms:modified xsi:type="dcterms:W3CDTF">2026-07-31T07:35:17.795Z</dcterms:modified>
</cp:coreProperties>
</file>

<file path=docProps/custom.xml><?xml version="1.0" encoding="utf-8"?>
<Properties xmlns="http://schemas.openxmlformats.org/officeDocument/2006/custom-properties" xmlns:vt="http://schemas.openxmlformats.org/officeDocument/2006/docPropsVTypes"/>
</file>