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Calibri" w:cs="Calibri" w:eastAsia="Calibri" w:hAnsi="Calibri"/>
          <w:color w:val="666666"/>
          <w:sz w:val="20"/>
          <w:szCs w:val="20"/>
        </w:rPr>
        <w:t xml:space="preserve">[LOGO]</w:t>
      </w:r>
    </w:p>
    <w:p>
      <w:pPr>
        <w:spacing w:after="80"/>
        <w:jc w:val="center"/>
      </w:pPr>
      <w:r>
        <w:rPr>
          <w:rFonts w:ascii="Calibri" w:cs="Calibri" w:eastAsia="Calibri" w:hAnsi="Calibri"/>
          <w:b/>
          <w:bCs/>
          <w:color w:val="666666"/>
          <w:sz w:val="22"/>
          <w:szCs w:val="22"/>
        </w:rPr>
        <w:t xml:space="preserve">BUSINESS EMAIL COMPROMISE, WIRE FRAUD (INTERIM REPORT)</w:t>
      </w:r>
    </w:p>
    <w:p>
      <w:pPr>
        <w:spacing w:after="300"/>
        <w:jc w:val="center"/>
      </w:pPr>
      <w:r>
        <w:rPr>
          <w:rFonts w:ascii="Calibri" w:cs="Calibri" w:eastAsia="Calibri" w:hAnsi="Calibri"/>
          <w:b/>
          <w:bCs/>
          <w:color w:val="2F5496"/>
          <w:sz w:val="46"/>
          <w:szCs w:val="46"/>
        </w:rPr>
        <w:t xml:space="preserve">Incident Investigation Report</w:t>
      </w:r>
    </w:p>
    <w:p>
      <w:pPr>
        <w:spacing w:after="60"/>
        <w:jc w:val="center"/>
      </w:pPr>
      <w:r>
        <w:rPr>
          <w:rFonts w:ascii="Calibri" w:cs="Calibri" w:eastAsia="Calibri" w:hAnsi="Calibri"/>
          <w:b/>
          <w:bCs/>
          <w:color w:val="1A1A1A"/>
          <w:sz w:val="32"/>
          <w:szCs w:val="32"/>
        </w:rPr>
        <w:t xml:space="preserve">Waverly Manufacturing</w:t>
      </w:r>
    </w:p>
    <w:p>
      <w:pPr>
        <w:spacing w:after="40"/>
        <w:jc w:val="center"/>
      </w:pPr>
      <w:r>
        <w:rPr>
          <w:rFonts w:ascii="Calibri" w:cs="Calibri" w:eastAsia="Calibri" w:hAnsi="Calibri"/>
          <w:color w:val="666666"/>
          <w:sz w:val="22"/>
          <w:szCs w:val="22"/>
        </w:rPr>
        <w:t xml:space="preserve">Primary M365 Domain: 854jpt.onmicrosoft.com</w:t>
      </w:r>
    </w:p>
    <w:p>
      <w:pPr>
        <w:spacing w:after="40"/>
        <w:jc w:val="center"/>
      </w:pPr>
      <w:r>
        <w:rPr>
          <w:rFonts w:ascii="Calibri" w:cs="Calibri" w:eastAsia="Calibri" w:hAnsi="Calibri"/>
          <w:color w:val="666666"/>
          <w:sz w:val="22"/>
          <w:szCs w:val="22"/>
        </w:rPr>
        <w:t xml:space="preserve">Report Date: July 29, 2026   |   Version 1.0</w:t>
      </w:r>
    </w:p>
    <w:p>
      <w:pPr>
        <w:spacing w:after="40"/>
        <w:jc w:val="center"/>
      </w:pPr>
      <w:r>
        <w:rPr>
          <w:rFonts w:ascii="Calibri" w:cs="Calibri" w:eastAsia="Calibri" w:hAnsi="Calibri"/>
          <w:color w:val="666666"/>
          <w:sz w:val="22"/>
          <w:szCs w:val="22"/>
        </w:rPr>
        <w:t xml:space="preserve">Incident Reference: BEC-2026-0724</w:t>
      </w:r>
    </w:p>
    <w:p>
      <w:pPr>
        <w:spacing w:before="400"/>
        <w:jc w:val="center"/>
      </w:pPr>
      <w:r>
        <w:rPr>
          <w:rFonts w:ascii="Calibri" w:cs="Calibri" w:eastAsia="Calibri" w:hAnsi="Calibri"/>
          <w:b/>
          <w:bCs/>
          <w:color w:val="666666"/>
          <w:sz w:val="20"/>
          <w:szCs w:val="20"/>
        </w:rPr>
        <w:t xml:space="preserve">CONFIDENTIAL</w:t>
      </w:r>
    </w:p>
    <w:p>
      <w:r>
        <w:br w:type="page"/>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Metadata</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880"/>
      </w:tblGrid>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Client / Organization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Waverly Manufacturing</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Primary M365 Domain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854jpt.onmicrosoft.com</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Prepared By</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Your Organization]</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Date</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29, 2026</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Version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Classification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CONFIDENTIAL</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Reference ID</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BEC-2026-0724</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Distribution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[Named recipients only]</w:t>
            </w:r>
          </w:p>
        </w:tc>
      </w:tr>
    </w:tbl>
    <w:p>
      <w:pPr>
        <w:spacing w:after="120" w:before="80" w:line="264"/>
      </w:pPr>
      <w:r>
        <w:rPr>
          <w:rFonts w:ascii="Calibri" w:cs="Calibri" w:eastAsia="Calibri" w:hAnsi="Calibri"/>
          <w:b w:val="false"/>
          <w:bCs w:val="false"/>
          <w:i/>
          <w:iCs/>
          <w:color w:val="666666"/>
          <w:sz w:val="20"/>
          <w:szCs w:val="20"/>
        </w:rPr>
        <w:t xml:space="preserve">This report contains sensitive information. Handle according to the classification above. Do not distribute beyond the named recipients without authorization.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 Executive Summary</w:t>
      </w:r>
    </w:p>
    <w:p>
      <w:pPr>
        <w:pStyle w:val="Heading2"/>
        <w:keepNext/>
        <w:spacing w:after="80" w:before="180"/>
      </w:pPr>
      <w:r>
        <w:rPr>
          <w:rFonts w:ascii="Calibri" w:cs="Calibri" w:eastAsia="Calibri" w:hAnsi="Calibri"/>
          <w:b/>
          <w:bCs/>
          <w:color w:val="2F5496"/>
          <w:sz w:val="24"/>
          <w:szCs w:val="24"/>
        </w:rPr>
        <w:t xml:space="preserve">1.1 Summary of Incident</w:t>
      </w:r>
    </w:p>
    <w:p>
      <w:pPr>
        <w:spacing w:after="120" w:before="0" w:line="264"/>
      </w:pPr>
      <w:r>
        <w:rPr>
          <w:rFonts w:ascii="Calibri" w:cs="Calibri" w:eastAsia="Calibri" w:hAnsi="Calibri"/>
          <w:b w:val="false"/>
          <w:bCs w:val="false"/>
          <w:i w:val="false"/>
          <w:iCs w:val="false"/>
          <w:color w:val="1A1A1A"/>
          <w:sz w:val="22"/>
          <w:szCs w:val="22"/>
        </w:rPr>
        <w:t xml:space="preserve">On July 24, 2026, at approximately 09:06 UTC, an unauthorized third party accessed two Microsoft 365 accounts at Waverly Manufacturing, “PradeepG@854jpt.onmicrosoft.com” and “PattiF@854jpt.onmicrosoft.com,” from IP address 45.9.249.58 (M247 Europe SRL, Dubai, United Arab Emirates; ASN 9009, data center/VPN infrastructure). Both sign-ins exhibited adversary-in-the-middle (AiTM) characteristics, including a “Keep Me Signed In” (KMSI) interrupt and origination from hosting infrastructure. Both users received the same phishing lure, a message purporting to share “Grady Archie shared Q3 Board Review - Confidential.xlsx,” which the threat actor later deleted from each mailbox. Within 13 minutes of accessing the PattiF account, the threat actor registered its own MFA method, establishing persistent access that bypassed existing MFA controls.</w:t>
      </w:r>
    </w:p>
    <w:p>
      <w:pPr>
        <w:spacing w:after="120" w:before="0" w:line="264"/>
      </w:pPr>
      <w:r>
        <w:rPr>
          <w:rFonts w:ascii="Calibri" w:cs="Calibri" w:eastAsia="Calibri" w:hAnsi="Calibri"/>
          <w:b w:val="false"/>
          <w:bCs w:val="false"/>
          <w:i w:val="false"/>
          <w:iCs w:val="false"/>
          <w:color w:val="1A1A1A"/>
          <w:sz w:val="22"/>
          <w:szCs w:val="22"/>
        </w:rPr>
        <w:t xml:space="preserve">On the PattiF account, the threat actor accessed 52 email items (19 on PradeepG), created a malicious inbox rule named “..” that automatically deletes incoming messages containing financial keywords (invoice, payment, wire, unauthorized, overdue, suspicious, fraud) with StopProcessingRules enabled, configured mail forwarding to an external disposable address (PattiF-Waverly@guerrillamail.com), and composed a fraudulent reply to an existing invoice thread (“Re: Overdue Invoice - Pacific Automotive #INV-2026-0847”). The fraudulent message was sent at 09:51 UTC to an internal accounts-payable contact (Adele Vance, AdeleV@854jpt.onmicrosoft.com) and an attacker-controlled address (PacificAuto@spam4.me), with a copy to the guerrillamail address. The threat actor then deleted the original invoice email and draft messages to conceal the activity.</w:t>
      </w:r>
    </w:p>
    <w:p>
      <w:pPr>
        <w:spacing w:after="120" w:before="0" w:line="264"/>
      </w:pPr>
      <w:r>
        <w:rPr>
          <w:rFonts w:ascii="Calibri" w:cs="Calibri" w:eastAsia="Calibri" w:hAnsi="Calibri"/>
          <w:b w:val="false"/>
          <w:bCs w:val="false"/>
          <w:i w:val="false"/>
          <w:iCs w:val="false"/>
          <w:color w:val="1A1A1A"/>
          <w:sz w:val="22"/>
          <w:szCs w:val="22"/>
        </w:rPr>
        <w:t xml:space="preserve">Entra ID Identity Protection generated 16 risk detections across the two confirmed accounts and a third targeted account (DiegoS), all classified as anonymized-IP-address events from the same hosting provider. At the time of this interim report, no administrator remediation actions (account disable, password reset, session revocation, MFA removal, inbox-rule deletion, or forwarding removal) were identified in the available audit logs. The PattiF account is marked “dismissed” in Entra ID risky users, while PradeepG and DiegoS remain in an “atRisk” state. Immediate remediation is required and is detailed in Section 11.</w:t>
      </w:r>
    </w:p>
    <w:p>
      <w:pPr>
        <w:pStyle w:val="Heading2"/>
        <w:keepNext/>
        <w:spacing w:after="80" w:before="180"/>
      </w:pPr>
      <w:r>
        <w:rPr>
          <w:rFonts w:ascii="Calibri" w:cs="Calibri" w:eastAsia="Calibri" w:hAnsi="Calibri"/>
          <w:b/>
          <w:bCs/>
          <w:color w:val="2F5496"/>
          <w:sz w:val="24"/>
          <w:szCs w:val="24"/>
        </w:rPr>
        <w:t xml:space="preserve">1.2 Current Status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Status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Ongoing, compromise identified; remediation not yet performed at time of report</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Affected Accounts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 confirmed (PradeepG, PattiF); 1 targeted/at-risk (DiegoS)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Financial Loss (known)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confirmed; active wire-fraud attempt in progress via invoice-thread hijack</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Data Exposure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 mailbox reads (52 PattiF, 19 PradeepG items) and outbound fraudulent message</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Regulatory Notification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 by client and counsel</w:t>
            </w:r>
          </w:p>
        </w:tc>
      </w:tr>
    </w:tbl>
    <w:p>
      <w:pPr>
        <w:pStyle w:val="Heading2"/>
        <w:keepNext/>
        <w:spacing w:after="80" w:before="180"/>
      </w:pPr>
      <w:r>
        <w:rPr>
          <w:rFonts w:ascii="Calibri" w:cs="Calibri" w:eastAsia="Calibri" w:hAnsi="Calibri"/>
          <w:b/>
          <w:bCs/>
          <w:color w:val="2F5496"/>
          <w:sz w:val="24"/>
          <w:szCs w:val="24"/>
        </w:rPr>
        <w:t xml:space="preserve">1.3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Two accounts were compromised via AiTM from a single hosting IP (45.9.249.58, Dubai); the actor registered its own MFA on PattiF within 13 minutes for persistence.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An active wire-fraud attempt is in progress: the actor hijacked the “Pacific Automotive #INV-2026-0847” invoice thread and sent a fraudulent reply to an internal AP contact and an attacker address.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Persistence and concealment were layered: a financial-keyword deletion rule (“..”), external forwarding to a disposable guerrillamail address, and deletion of the original invoice and drafts.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Remediation is incomplete: at report time no containment actions were evidenced; PradeepG and DiegoS remain at risk. This is an interim report requiring immediate action.</w:t>
      </w:r>
    </w:p>
    <w:p>
      <w:pPr>
        <w:pStyle w:val="Heading2"/>
        <w:keepNext/>
        <w:spacing w:after="80" w:before="180"/>
      </w:pPr>
      <w:r>
        <w:rPr>
          <w:rFonts w:ascii="Calibri" w:cs="Calibri" w:eastAsia="Calibri" w:hAnsi="Calibri"/>
          <w:b/>
          <w:bCs/>
          <w:color w:val="2F5496"/>
          <w:sz w:val="24"/>
          <w:szCs w:val="24"/>
        </w:rPr>
        <w:t xml:space="preserve">1.4 Priority Recommendations</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Immediately disable/reset PradeepG and PattiF, revoke all sessions and tokens, remove the attacker-registered MFA method on PattiF, and delete the “..” rule and the guerrillamail forwarding.</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Investigate DiegoS (high-severity risk detection 38 minutes before the confirmed compromises) and contain if compromised.</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Contact Adele Vance and any recipients of the fraudulent invoice reply; verify and halt any wire/payment in progress and initiate recall if needed.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2. Incident Overview</w:t>
      </w:r>
    </w:p>
    <w:p>
      <w:pPr>
        <w:pStyle w:val="Heading2"/>
        <w:keepNext/>
        <w:spacing w:after="80" w:before="180"/>
      </w:pPr>
      <w:r>
        <w:rPr>
          <w:rFonts w:ascii="Calibri" w:cs="Calibri" w:eastAsia="Calibri" w:hAnsi="Calibri"/>
          <w:b/>
          <w:bCs/>
          <w:color w:val="2F5496"/>
          <w:sz w:val="24"/>
          <w:szCs w:val="24"/>
        </w:rPr>
        <w:t xml:space="preserve">2.1 Incident Details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Business Email Compromise (BEC), wire fraud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Sub-category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AiTM initial access; attacker-registered MFA persistence; invoice-thread hijack</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Initial Detection Date + Source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24, 2026; wire-fraud report / Entra ID risk detections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Estimated Initial Compromise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24, 2026, ~09:06 UTC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Date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yet performed at time of report (interim)</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Eradication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yet performed at time of report (interim)</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Duration (dwell time)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Ongoing at report time</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Tenant Licensing Tier</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Supports MailItemsAccessed and Identity Protection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Unified Audit Log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Mailbox Auditing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 (MailItemsAccessed available)</w:t>
            </w:r>
          </w:p>
        </w:tc>
      </w:tr>
    </w:tbl>
    <w:p>
      <w:pPr>
        <w:pStyle w:val="Heading2"/>
        <w:keepNext/>
        <w:spacing w:after="80" w:before="180"/>
      </w:pPr>
      <w:r>
        <w:rPr>
          <w:rFonts w:ascii="Calibri" w:cs="Calibri" w:eastAsia="Calibri" w:hAnsi="Calibri"/>
          <w:b/>
          <w:bCs/>
          <w:color w:val="2F5496"/>
          <w:sz w:val="24"/>
          <w:szCs w:val="24"/>
        </w:rPr>
        <w:t xml:space="preserve">2.2 Investigation Engagement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Requested By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contact, Waverly Manufacturing]</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Engagement Started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28, 2026</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Investigator(s)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Certifications], [Your Organization]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Interim report issued July 29, 2026; response ongoing</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Scope of Engagement</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Investigate reported wire fraud; scope compromise, persistence, data exposure, and at-risk accounts; direct immediate remediation.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Constraints / Limitations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Remediation not yet executed at report time; DiegoS status unresolved; recipient/banking outcomes not observable from tenant logs.</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3. Scope and Impact</w:t>
      </w:r>
    </w:p>
    <w:p>
      <w:pPr>
        <w:pStyle w:val="Heading2"/>
        <w:keepNext/>
        <w:spacing w:after="80" w:before="180"/>
      </w:pPr>
      <w:r>
        <w:rPr>
          <w:rFonts w:ascii="Calibri" w:cs="Calibri" w:eastAsia="Calibri" w:hAnsi="Calibri"/>
          <w:b/>
          <w:bCs/>
          <w:color w:val="2F5496"/>
          <w:sz w:val="24"/>
          <w:szCs w:val="24"/>
        </w:rPr>
        <w:t xml:space="preserve">3.1 Affected User Accounts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1700"/>
        <w:gridCol w:w="1700"/>
        <w:gridCol w:w="3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User (UPN)</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Compromise Type</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Impact Summary</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PattiF@854jpt.onmicrosoft.com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Finance / AP-facing 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AiTM access; attacker MFA reg; “..” delete rule; guerrillamail forwarding; invoice-thread hijack send.</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PradeepG@854jpt.onmicrosoft.com</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User</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AiTM access from 45.9.249.58; 19 items accessed; lure deleted; remains atRisk.</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DiegoS@854jpt.onmicrosoft.com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Targeted / at-risk</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High-severity risk detection from 129.232.209.234 (Xneelo, ZA) at 08:28 UTC; remains atRisk.</w:t>
            </w:r>
          </w:p>
        </w:tc>
      </w:tr>
    </w:tbl>
    <w:p>
      <w:pPr>
        <w:pStyle w:val="Heading2"/>
        <w:keepNext/>
        <w:spacing w:after="80" w:before="180"/>
      </w:pPr>
      <w:r>
        <w:rPr>
          <w:rFonts w:ascii="Calibri" w:cs="Calibri" w:eastAsia="Calibri" w:hAnsi="Calibri"/>
          <w:b/>
          <w:bCs/>
          <w:color w:val="2F5496"/>
          <w:sz w:val="24"/>
          <w:szCs w:val="24"/>
        </w:rPr>
        <w:t xml:space="preserve">3.2 Financial Impact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5880"/>
      </w:tblGrid>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Confirmed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confirmed at report time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Attempted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 active invoice-thread hijack targeting an internal AP contact</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Recovered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 (no confirmed transfer)</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Pending Recovery</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Verify any in-flight payment on INV-2026-0847</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Business Disruption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 be completed by client]</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Response &amp; Remediation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 be completed by client]</w:t>
            </w:r>
          </w:p>
        </w:tc>
      </w:tr>
    </w:tbl>
    <w:p>
      <w:pPr>
        <w:pStyle w:val="Heading2"/>
        <w:keepNext/>
        <w:spacing w:after="80" w:before="180"/>
      </w:pPr>
      <w:r>
        <w:rPr>
          <w:rFonts w:ascii="Calibri" w:cs="Calibri" w:eastAsia="Calibri" w:hAnsi="Calibri"/>
          <w:b/>
          <w:bCs/>
          <w:color w:val="2F5496"/>
          <w:sz w:val="24"/>
          <w:szCs w:val="24"/>
        </w:rPr>
        <w:t xml:space="preserve">3.3 Data Exposure</w:t>
      </w:r>
    </w:p>
    <w:p>
      <w:pPr>
        <w:spacing w:after="120" w:before="0" w:line="264"/>
      </w:pPr>
      <w:r>
        <w:rPr>
          <w:rFonts w:ascii="Calibri" w:cs="Calibri" w:eastAsia="Calibri" w:hAnsi="Calibri"/>
          <w:b w:val="false"/>
          <w:bCs w:val="false"/>
          <w:i w:val="false"/>
          <w:iCs w:val="false"/>
          <w:color w:val="1A1A1A"/>
          <w:sz w:val="22"/>
          <w:szCs w:val="22"/>
        </w:rPr>
        <w:t xml:space="preserve">MailItemsAccessed evidence confirms the threat actor accessed 52 items in the PattiF mailbox and 19 in PradeepG from the hosting IP. The actor also sent a fraudulent message and configured forwarding of all incoming PattiF mail to an external address. Detail is provided in Section 8.</w:t>
      </w:r>
    </w:p>
    <w:p>
      <w:pPr>
        <w:pStyle w:val="Heading2"/>
        <w:keepNext/>
        <w:spacing w:after="80" w:before="180"/>
      </w:pPr>
      <w:r>
        <w:rPr>
          <w:rFonts w:ascii="Calibri" w:cs="Calibri" w:eastAsia="Calibri" w:hAnsi="Calibri"/>
          <w:b/>
          <w:bCs/>
          <w:color w:val="2F5496"/>
          <w:sz w:val="24"/>
          <w:szCs w:val="24"/>
        </w:rPr>
        <w:t xml:space="preserve">3.4 Regulatory and Contractual Notification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2600"/>
        <w:gridCol w:w="4480"/>
      </w:tblGrid>
      <w:tr>
        <w:trPr>
          <w:tblHeader/>
        </w:trPr>
        <w:tc>
          <w:tcPr>
            <w:tcW w:type="dxa" w:w="3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Framework</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Preliminary Applicability</w:t>
            </w:r>
          </w:p>
        </w:tc>
        <w:tc>
          <w:tcPr>
            <w:tcW w:type="dxa" w:w="4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State Data Breach Laws</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Assess whether accessed mailboxes contained regulated PII.</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Contractual / Counterparty</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Pacific Automotive and AP counterparties may warrant notification.</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Cyber Insurance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Engage carrier given active wire-fraud attempt.</w:t>
            </w:r>
          </w:p>
        </w:tc>
      </w:tr>
    </w:tbl>
    <w:p>
      <w:pPr>
        <w:spacing w:after="120" w:before="60" w:line="264"/>
      </w:pPr>
      <w:r>
        <w:rPr>
          <w:rFonts w:ascii="Calibri" w:cs="Calibri" w:eastAsia="Calibri" w:hAnsi="Calibri"/>
          <w:b w:val="false"/>
          <w:bCs w:val="false"/>
          <w:i/>
          <w:iCs/>
          <w:color w:val="666666"/>
          <w:sz w:val="20"/>
          <w:szCs w:val="20"/>
        </w:rPr>
        <w:t xml:space="preserve">Final legal determinations regarding notification obligations are the responsibility of the client and its counsel, not the investigator.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4. Investigation Methodology</w:t>
      </w:r>
    </w:p>
    <w:p>
      <w:pPr>
        <w:pStyle w:val="Heading2"/>
        <w:keepNext/>
        <w:spacing w:after="80" w:before="180"/>
      </w:pPr>
      <w:r>
        <w:rPr>
          <w:rFonts w:ascii="Calibri" w:cs="Calibri" w:eastAsia="Calibri" w:hAnsi="Calibri"/>
          <w:b/>
          <w:bCs/>
          <w:color w:val="2F5496"/>
          <w:sz w:val="24"/>
          <w:szCs w:val="24"/>
        </w:rPr>
        <w:t xml:space="preserve">4.1 Investigation Approach</w:t>
      </w:r>
    </w:p>
    <w:p>
      <w:pPr>
        <w:spacing w:after="120" w:before="0" w:line="264"/>
      </w:pPr>
      <w:r>
        <w:rPr>
          <w:rFonts w:ascii="Calibri" w:cs="Calibri" w:eastAsia="Calibri" w:hAnsi="Calibri"/>
          <w:b w:val="false"/>
          <w:bCs w:val="false"/>
          <w:i w:val="false"/>
          <w:iCs w:val="false"/>
          <w:color w:val="1A1A1A"/>
          <w:sz w:val="22"/>
          <w:szCs w:val="22"/>
        </w:rPr>
        <w:t xml:space="preserve">The investigation followed a Microsoft 365 BEC playbook. Because a wire-fraud attempt was reported, the threat-actor IP was isolated and correlated across interactive sign-in logs, Entra ID audit logs, Entra ID risk detections, the Unified Audit Log, MailItemsAccessed events, mailbox-rule and forwarding state, and message trace to reconstruct the July 24 activity and identify at-risk accounts.</w:t>
      </w:r>
    </w:p>
    <w:p>
      <w:pPr>
        <w:spacing w:after="120" w:before="0" w:line="264"/>
      </w:pPr>
      <w:r>
        <w:rPr>
          <w:rFonts w:ascii="Calibri" w:cs="Calibri" w:eastAsia="Calibri" w:hAnsi="Calibri"/>
          <w:b w:val="false"/>
          <w:bCs w:val="false"/>
          <w:i w:val="false"/>
          <w:iCs w:val="false"/>
          <w:color w:val="1A1A1A"/>
          <w:sz w:val="22"/>
          <w:szCs w:val="22"/>
        </w:rPr>
        <w:t xml:space="preserve">Because remediation had not been performed at the time of collection, the investigation prioritized identifying the complete set of required containment actions so the client could execute them immediately.</w:t>
      </w:r>
    </w:p>
    <w:p>
      <w:pPr>
        <w:pStyle w:val="Heading2"/>
        <w:keepNext/>
        <w:spacing w:after="80" w:before="180"/>
      </w:pPr>
      <w:r>
        <w:rPr>
          <w:rFonts w:ascii="Calibri" w:cs="Calibri" w:eastAsia="Calibri" w:hAnsi="Calibri"/>
          <w:b/>
          <w:bCs/>
          <w:color w:val="2F5496"/>
          <w:sz w:val="24"/>
          <w:szCs w:val="24"/>
        </w:rPr>
        <w:t xml:space="preserve">4.2 Evidence Sources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2400"/>
        <w:gridCol w:w="3480"/>
      </w:tblGrid>
      <w:tr>
        <w:trPr>
          <w:tblHeader/>
        </w:trPr>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Source</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Retention Period</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Collected (range)</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Interactive Sign-In Logs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Jun 29 – Jul 29, 2026 (207 events; 16 from TA IP)</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 19 – Jul 29, 2026 (348 entries)</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Risk Detections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 24, 2026 (16 detections)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Unified Audit Log (by IP)</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 19 – Jul 29, 2026 (43 TA-correlated entries)</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MailItemsAccessed (PattiF, PradeepG)</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Available at tier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 11 – Jul 31, 2026</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Mailbox Rules / Forwarding</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Point-in-time</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Collected Jul 28, 2026</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Message Trace / Message-ID list</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 2026</w:t>
            </w:r>
          </w:p>
        </w:tc>
      </w:tr>
    </w:tbl>
    <w:p>
      <w:pPr>
        <w:pStyle w:val="Heading2"/>
        <w:keepNext/>
        <w:spacing w:after="80" w:before="180"/>
      </w:pPr>
      <w:r>
        <w:rPr>
          <w:rFonts w:ascii="Calibri" w:cs="Calibri" w:eastAsia="Calibri" w:hAnsi="Calibri"/>
          <w:b/>
          <w:bCs/>
          <w:color w:val="2F5496"/>
          <w:sz w:val="24"/>
          <w:szCs w:val="24"/>
        </w:rPr>
        <w:t xml:space="preserve">4.3 Tools and Scripts Used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M365IRScripts collection (https://github.com/bitpusher2k/M365IRScripts).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Graph PowerShell SDK.</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Exchange Online PowerShell module.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Defender and Purview portals (compliance search and purge).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IP reputation and enrichment services (GeoLite2, ipapi.is, Scamalytics, findip.net).</w:t>
      </w:r>
    </w:p>
    <w:p>
      <w:pPr>
        <w:pStyle w:val="Heading2"/>
        <w:keepNext/>
        <w:spacing w:after="80" w:before="180"/>
      </w:pPr>
      <w:r>
        <w:rPr>
          <w:rFonts w:ascii="Calibri" w:cs="Calibri" w:eastAsia="Calibri" w:hAnsi="Calibri"/>
          <w:b/>
          <w:bCs/>
          <w:color w:val="2F5496"/>
          <w:sz w:val="24"/>
          <w:szCs w:val="24"/>
        </w:rPr>
        <w:t xml:space="preserve">4.4 Chain of Custody and Evidence Handling</w:t>
      </w:r>
    </w:p>
    <w:p>
      <w:pPr>
        <w:spacing w:after="120" w:before="0" w:line="264"/>
      </w:pPr>
      <w:r>
        <w:rPr>
          <w:rFonts w:ascii="Calibri" w:cs="Calibri" w:eastAsia="Calibri" w:hAnsi="Calibri"/>
          <w:b w:val="false"/>
          <w:bCs w:val="false"/>
          <w:i w:val="false"/>
          <w:iCs w:val="false"/>
          <w:color w:val="1A1A1A"/>
          <w:sz w:val="22"/>
          <w:szCs w:val="22"/>
        </w:rPr>
        <w:t xml:space="preserve">Collected artifacts (CSV/JSON/TXT log exports and processed, IP-enriched workbooks) were retained in a restricted-access case folder limited to assigned investigators. Exports were preserved in their original form alongside processed copies, and file integrity was maintained through controlled, read-only handling of the source exports. Artifacts are retained per the engagement's retention terms.</w:t>
      </w:r>
    </w:p>
    <w:p>
      <w:pPr>
        <w:pStyle w:val="Heading2"/>
        <w:keepNext/>
        <w:spacing w:after="80" w:before="180"/>
      </w:pPr>
      <w:r>
        <w:rPr>
          <w:rFonts w:ascii="Calibri" w:cs="Calibri" w:eastAsia="Calibri" w:hAnsi="Calibri"/>
          <w:b/>
          <w:bCs/>
          <w:color w:val="2F5496"/>
          <w:sz w:val="24"/>
          <w:szCs w:val="24"/>
        </w:rPr>
        <w:t xml:space="preserve">4.5 Assumptions and Limitations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administrator remediation actions were identified in the available audit logs at report time; the incident is treated as ongoing.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DiegoS shows a high-severity risk detection but no confirmed full compromise; it is treated as at-risk pending investigation.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Downstream banking/recipient outcomes on the fraudulent invoice cannot be observed from tenant logs.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Timestamps are in UTC.</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5. Timeline of Events</w:t>
      </w:r>
    </w:p>
    <w:p>
      <w:pPr>
        <w:spacing w:after="120" w:before="0" w:line="264"/>
      </w:pPr>
      <w:r>
        <w:rPr>
          <w:rFonts w:ascii="Calibri" w:cs="Calibri" w:eastAsia="Calibri" w:hAnsi="Calibri"/>
          <w:b w:val="false"/>
          <w:bCs w:val="false"/>
          <w:i/>
          <w:iCs/>
          <w:color w:val="666666"/>
          <w:sz w:val="20"/>
          <w:szCs w:val="20"/>
        </w:rPr>
        <w:t xml:space="preserve">All times are in UTC unless otherwise noted.</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350"/>
        <w:gridCol w:w="4400"/>
        <w:gridCol w:w="2380"/>
      </w:tblGrid>
      <w:tr>
        <w:trPr>
          <w:tblHeader/>
        </w:trPr>
        <w:tc>
          <w:tcPr>
            <w:tcW w:type="dxa" w:w="19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13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Actor</w:t>
            </w:r>
          </w:p>
        </w:tc>
        <w:tc>
          <w:tcPr>
            <w:tcW w:type="dxa" w:w="4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Event</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Evidence Source</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08:28</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High-severity risk detection on DiegoS from 129.232.209.234 (Xneelo, ZA)</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Risk Detections</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09:06</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AiTM sign-in to PradeepG from 45.9.249.58 (M247, Dubai); KMSI interrupt</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09:07</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Phishing lure moved to Deleted Items in PradeepG; hard-deleted 09:17</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UAL</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09:08</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AiTM sign-in to PattiF from 45.9.249.58; lure soft-deleted from Junk</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 / UAL</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09:21</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Registered own MFA authenticator on PattiF (~13 min after access)</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09:35</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Created inbox rule “..”, delete messages with financial keywords, StopProcessingRules</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Mailbox Rules / UAL</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09:37</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Enabled forwarding to PattiF-Waverly@guerrillamail.com (DeliverToMailboxAndForward)</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Forwarding Settings / UAL</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09:38–09:50</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Revised fraudulent draft on the Pacific Automotive invoice thread</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UAL</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09:51</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Sent fraudulent reply to AdeleV and PacificAuto@spam4.me; copy to guerrillamail</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Message Trace / UAL</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(after)</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Deleted original invoice email and drafts to conceal</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UAL</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2026-07-28 to 29</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Investigation and interim report; remediation NOT yet performed</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This report</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6. Technical Findings</w:t>
      </w:r>
    </w:p>
    <w:p>
      <w:pPr>
        <w:pStyle w:val="Heading2"/>
        <w:keepNext/>
        <w:spacing w:after="80" w:before="180"/>
      </w:pPr>
      <w:r>
        <w:rPr>
          <w:rFonts w:ascii="Calibri" w:cs="Calibri" w:eastAsia="Calibri" w:hAnsi="Calibri"/>
          <w:b/>
          <w:bCs/>
          <w:color w:val="2F5496"/>
          <w:sz w:val="24"/>
          <w:szCs w:val="24"/>
        </w:rPr>
        <w:t xml:space="preserve">6.1 Initial Access</w:t>
      </w:r>
    </w:p>
    <w:p>
      <w:pPr>
        <w:spacing w:after="120" w:before="0" w:line="264"/>
      </w:pPr>
      <w:r>
        <w:rPr>
          <w:rFonts w:ascii="Calibri" w:cs="Calibri" w:eastAsia="Calibri" w:hAnsi="Calibri"/>
          <w:b w:val="false"/>
          <w:bCs w:val="false"/>
          <w:i w:val="false"/>
          <w:iCs w:val="false"/>
          <w:color w:val="1A1A1A"/>
          <w:sz w:val="22"/>
          <w:szCs w:val="22"/>
        </w:rPr>
        <w:t xml:space="preserve">Initial access is assessed as adversary-in-the-middle (AiTM). Both PradeepG and PattiF received the same file-share phishing lure (“Grady Archie shared Q3 Board Review - Confidential.xlsx”) and were accessed within two minutes of each other from the same hosting IP, with KMSI interrupts characteristic of token-capturing AiTM kits. The actor deleted the lure from each mailbox to hinder detection.</w:t>
      </w:r>
    </w:p>
    <w:p>
      <w:pPr>
        <w:pStyle w:val="Heading2"/>
        <w:keepNext/>
        <w:spacing w:after="80" w:before="180"/>
      </w:pPr>
      <w:r>
        <w:rPr>
          <w:rFonts w:ascii="Calibri" w:cs="Calibri" w:eastAsia="Calibri" w:hAnsi="Calibri"/>
          <w:b/>
          <w:bCs/>
          <w:color w:val="2F5496"/>
          <w:sz w:val="24"/>
          <w:szCs w:val="24"/>
        </w:rPr>
        <w:t xml:space="preserve">6.2 Authentication and Session Establishment</w:t>
      </w:r>
    </w:p>
    <w:p>
      <w:pPr>
        <w:spacing w:after="120" w:before="0" w:line="264"/>
      </w:pPr>
      <w:r>
        <w:rPr>
          <w:rFonts w:ascii="Calibri" w:cs="Calibri" w:eastAsia="Calibri" w:hAnsi="Calibri"/>
          <w:b w:val="false"/>
          <w:bCs w:val="false"/>
          <w:i w:val="false"/>
          <w:iCs w:val="false"/>
          <w:color w:val="1A1A1A"/>
          <w:sz w:val="22"/>
          <w:szCs w:val="22"/>
        </w:rPr>
        <w:t xml:space="preserve">Sign-ins originated from 45.9.249.58 (M247 Europe SRL, Dubai, UAE; ASN 9009), data center/VPN infrastructure. Sixteen sign-in events from this IP targeted the two accounts. Entra ID Identity Protection raised 16 risk detections (10 PattiF, 3 PradeepG, 1 DiegoS, plus 2 from DiegoS’s legitimate IP), all classified as anonymized-IP-address events. A separate high-severity detection on DiegoS came from 129.232.209.234 (Xneelo, South Africa) 38 minutes before the confirmed compromises.</w:t>
      </w:r>
    </w:p>
    <w:p>
      <w:pPr>
        <w:pStyle w:val="Heading2"/>
        <w:keepNext/>
        <w:spacing w:after="80" w:before="180"/>
      </w:pPr>
      <w:r>
        <w:rPr>
          <w:rFonts w:ascii="Calibri" w:cs="Calibri" w:eastAsia="Calibri" w:hAnsi="Calibri"/>
          <w:b/>
          <w:bCs/>
          <w:color w:val="2F5496"/>
          <w:sz w:val="24"/>
          <w:szCs w:val="24"/>
        </w:rPr>
        <w:t xml:space="preserve">6.3 Persistence Mechanisms</w:t>
      </w:r>
    </w:p>
    <w:p>
      <w:pPr>
        <w:spacing w:after="120" w:before="0" w:line="264"/>
      </w:pPr>
      <w:r>
        <w:rPr>
          <w:rFonts w:ascii="Calibri" w:cs="Calibri" w:eastAsia="Calibri" w:hAnsi="Calibri"/>
          <w:b w:val="false"/>
          <w:bCs w:val="false"/>
          <w:i w:val="false"/>
          <w:iCs w:val="false"/>
          <w:color w:val="1A1A1A"/>
          <w:sz w:val="22"/>
          <w:szCs w:val="22"/>
        </w:rPr>
        <w:t xml:space="preserve">Persistence and concealment were layered on the PattiF account:</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Attacker-Registered MFA: authenticator registered ~09:21 UTC, ~13 minutes after access, surviving password reset alone.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Inbox Rule: “..” (identity 13467810270994759681), delete incoming messages containing invoice, payment, wire, unauthorized, overdue, suspicious, or fraud, with StopProcessingRules.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 Forwarding: to PattiF-Waverly@guerrillamail.com (disposable), with DeliverToMailboxAndForward enabled.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Evidence Destruction: deletion of the original invoice email and drafts.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Tenant-Level Changes: none observed; persistence was account-scoped across two accounts.</w:t>
      </w:r>
    </w:p>
    <w:p>
      <w:pPr>
        <w:pStyle w:val="Heading2"/>
        <w:keepNext/>
        <w:spacing w:after="80" w:before="180"/>
      </w:pPr>
      <w:r>
        <w:rPr>
          <w:rFonts w:ascii="Calibri" w:cs="Calibri" w:eastAsia="Calibri" w:hAnsi="Calibri"/>
          <w:b/>
          <w:bCs/>
          <w:color w:val="2F5496"/>
          <w:sz w:val="24"/>
          <w:szCs w:val="24"/>
        </w:rPr>
        <w:t xml:space="preserve">6.4 Reconnaissance and Collection</w:t>
      </w:r>
    </w:p>
    <w:p>
      <w:pPr>
        <w:spacing w:after="120" w:before="0" w:line="264"/>
      </w:pPr>
      <w:r>
        <w:rPr>
          <w:rFonts w:ascii="Calibri" w:cs="Calibri" w:eastAsia="Calibri" w:hAnsi="Calibri"/>
          <w:b w:val="false"/>
          <w:bCs w:val="false"/>
          <w:i w:val="false"/>
          <w:iCs w:val="false"/>
          <w:color w:val="1A1A1A"/>
          <w:sz w:val="22"/>
          <w:szCs w:val="22"/>
        </w:rPr>
        <w:t xml:space="preserve">MailItemsAccessed evidence shows 52 item accesses in PattiF (15 UAL entries from the TA IP) and 19 in PradeepG (4 entries), indicating targeted review of mailbox contents, with focus on the Pacific Automotive invoice thread used for the fraud.</w:t>
      </w:r>
    </w:p>
    <w:p>
      <w:pPr>
        <w:pStyle w:val="Heading2"/>
        <w:keepNext/>
        <w:spacing w:after="80" w:before="180"/>
      </w:pPr>
      <w:r>
        <w:rPr>
          <w:rFonts w:ascii="Calibri" w:cs="Calibri" w:eastAsia="Calibri" w:hAnsi="Calibri"/>
          <w:b/>
          <w:bCs/>
          <w:color w:val="2F5496"/>
          <w:sz w:val="24"/>
          <w:szCs w:val="24"/>
        </w:rPr>
        <w:t xml:space="preserve">6.5 Lateral Movement</w:t>
      </w:r>
    </w:p>
    <w:p>
      <w:pPr>
        <w:spacing w:after="120" w:before="0" w:line="264"/>
      </w:pPr>
      <w:r>
        <w:rPr>
          <w:rFonts w:ascii="Calibri" w:cs="Calibri" w:eastAsia="Calibri" w:hAnsi="Calibri"/>
          <w:b w:val="false"/>
          <w:bCs w:val="false"/>
          <w:i w:val="false"/>
          <w:iCs w:val="false"/>
          <w:color w:val="1A1A1A"/>
          <w:sz w:val="22"/>
          <w:szCs w:val="22"/>
        </w:rPr>
        <w:t xml:space="preserve">Two accounts were compromised in parallel and a third (DiegoS) was targeted. The fraudulent message targeted an internal AP contact (Adele Vance), representing an internal social-engineering vector, though no confirmed compromise of AdeleV was identified at report time.</w:t>
      </w:r>
    </w:p>
    <w:p>
      <w:pPr>
        <w:pStyle w:val="Heading2"/>
        <w:keepNext/>
        <w:spacing w:after="80" w:before="180"/>
      </w:pPr>
      <w:r>
        <w:rPr>
          <w:rFonts w:ascii="Calibri" w:cs="Calibri" w:eastAsia="Calibri" w:hAnsi="Calibri"/>
          <w:b/>
          <w:bCs/>
          <w:color w:val="2F5496"/>
          <w:sz w:val="24"/>
          <w:szCs w:val="24"/>
        </w:rPr>
        <w:t xml:space="preserve">6.6 Exfiltration</w:t>
      </w:r>
    </w:p>
    <w:p>
      <w:pPr>
        <w:spacing w:after="120" w:before="0" w:line="264"/>
      </w:pPr>
      <w:r>
        <w:rPr>
          <w:rFonts w:ascii="Calibri" w:cs="Calibri" w:eastAsia="Calibri" w:hAnsi="Calibri"/>
          <w:b w:val="false"/>
          <w:bCs w:val="false"/>
          <w:i w:val="false"/>
          <w:iCs w:val="false"/>
          <w:color w:val="1A1A1A"/>
          <w:sz w:val="22"/>
          <w:szCs w:val="22"/>
        </w:rPr>
        <w:t xml:space="preserve">External forwarding to a disposable guerrillamail address was configured to copy all incoming PattiF mail to the threat actor. Combined with 52 confirmed item accesses, this constitutes an active egress channel. No bulk export operation was separately evidenced.</w:t>
      </w:r>
    </w:p>
    <w:p>
      <w:pPr>
        <w:pStyle w:val="Heading2"/>
        <w:keepNext/>
        <w:spacing w:after="80" w:before="180"/>
      </w:pPr>
      <w:r>
        <w:rPr>
          <w:rFonts w:ascii="Calibri" w:cs="Calibri" w:eastAsia="Calibri" w:hAnsi="Calibri"/>
          <w:b/>
          <w:bCs/>
          <w:color w:val="2F5496"/>
          <w:sz w:val="24"/>
          <w:szCs w:val="24"/>
        </w:rPr>
        <w:t xml:space="preserve">6.7 Impact Actions</w:t>
      </w:r>
    </w:p>
    <w:p>
      <w:pPr>
        <w:spacing w:after="120" w:before="0" w:line="264"/>
      </w:pPr>
      <w:r>
        <w:rPr>
          <w:rFonts w:ascii="Calibri" w:cs="Calibri" w:eastAsia="Calibri" w:hAnsi="Calibri"/>
          <w:b w:val="false"/>
          <w:bCs w:val="false"/>
          <w:i w:val="false"/>
          <w:iCs w:val="false"/>
          <w:color w:val="1A1A1A"/>
          <w:sz w:val="22"/>
          <w:szCs w:val="22"/>
        </w:rPr>
        <w:t xml:space="preserve">The end objective is wire fraud via invoice-thread hijack. The actor replied within an existing thread (“Re: Overdue Invoice - Pacific Automotive #INV-2026-0847”), directing an internal AP contact toward attacker-controlled correspondence (PacificAuto@spam4.me) while suppressing warning messages via the financial-keyword deletion rule and copying itself via forwarding. At report time no completed transfer was confirmed, and the attempt was active and unremediated.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7. Indicators of Compromise (IOCs)</w:t>
      </w:r>
    </w:p>
    <w:p>
      <w:pPr>
        <w:pStyle w:val="Heading2"/>
        <w:keepNext/>
        <w:spacing w:after="80" w:before="180"/>
      </w:pPr>
      <w:r>
        <w:rPr>
          <w:rFonts w:ascii="Calibri" w:cs="Calibri" w:eastAsia="Calibri" w:hAnsi="Calibri"/>
          <w:b/>
          <w:bCs/>
          <w:color w:val="2F5496"/>
          <w:sz w:val="24"/>
          <w:szCs w:val="24"/>
        </w:rPr>
        <w:t xml:space="preserve">7.1 Network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3700"/>
        <w:gridCol w:w="1900"/>
        <w:gridCol w:w="3080"/>
      </w:tblGrid>
      <w:tr>
        <w:trPr>
          <w:tblHeader/>
        </w:trPr>
        <w:tc>
          <w:tcPr>
            <w:tcW w:type="dxa" w:w="15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3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First Seen (UTC)</w:t>
            </w:r>
          </w:p>
        </w:tc>
        <w:tc>
          <w:tcPr>
            <w:tcW w:type="dxa" w:w="30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1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IPv4</w:t>
            </w:r>
          </w:p>
        </w:tc>
        <w:tc>
          <w:tcPr>
            <w:tcW w:type="dxa" w:w="37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45.9.249.58</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09:06</w:t>
            </w:r>
          </w:p>
        </w:tc>
        <w:tc>
          <w:tcPr>
            <w:tcW w:type="dxa" w:w="3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M247 Europe SRL, Dubai, UAE; ASN 9009; primary threat-actor IP</w:t>
            </w:r>
          </w:p>
        </w:tc>
      </w:tr>
      <w:tr>
        <w:tc>
          <w:tcPr>
            <w:tcW w:type="dxa" w:w="1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IPv4</w:t>
            </w:r>
          </w:p>
        </w:tc>
        <w:tc>
          <w:tcPr>
            <w:tcW w:type="dxa" w:w="37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129.232.209.234</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2026-07-24 08:28</w:t>
            </w:r>
          </w:p>
        </w:tc>
        <w:tc>
          <w:tcPr>
            <w:tcW w:type="dxa" w:w="30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Xneelo, South Africa; DiegoS high-severity risk detection</w:t>
            </w:r>
          </w:p>
        </w:tc>
      </w:tr>
    </w:tbl>
    <w:p>
      <w:pPr>
        <w:pStyle w:val="Heading2"/>
        <w:keepNext/>
        <w:spacing w:after="80" w:before="180"/>
      </w:pPr>
      <w:r>
        <w:rPr>
          <w:rFonts w:ascii="Calibri" w:cs="Calibri" w:eastAsia="Calibri" w:hAnsi="Calibri"/>
          <w:b/>
          <w:bCs/>
          <w:color w:val="2F5496"/>
          <w:sz w:val="24"/>
          <w:szCs w:val="24"/>
        </w:rPr>
        <w:t xml:space="preserve">7.2 Identity and Session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200"/>
        <w:gridCol w:w="34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Persistence Action</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Attacker MFA registration (PattiF)</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~09:21 UTC, Jul 24; ~13 min after access</w:t>
            </w:r>
          </w:p>
        </w:tc>
      </w:tr>
      <w:tr>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Risk Detection</w:t>
            </w:r>
          </w:p>
        </w:tc>
        <w:tc>
          <w:tcPr>
            <w:tcW w:type="dxa" w:w="42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anonymizedIPAddress (16 detections)</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 PattiF, 3 PradeepG, 1 DiegoS from TA infra</w:t>
            </w:r>
          </w:p>
        </w:tc>
      </w:tr>
    </w:tbl>
    <w:p>
      <w:pPr>
        <w:pStyle w:val="Heading2"/>
        <w:keepNext/>
        <w:spacing w:after="80" w:before="180"/>
      </w:pPr>
      <w:r>
        <w:rPr>
          <w:rFonts w:ascii="Calibri" w:cs="Calibri" w:eastAsia="Calibri" w:hAnsi="Calibri"/>
          <w:b/>
          <w:bCs/>
          <w:color w:val="2F5496"/>
          <w:sz w:val="24"/>
          <w:szCs w:val="24"/>
        </w:rPr>
        <w:t xml:space="preserve">7.3 Email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4600"/>
        <w:gridCol w:w="3280"/>
      </w:tblGrid>
      <w:tr>
        <w:trPr>
          <w:tblHeader/>
        </w:trPr>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Field</w:t>
            </w:r>
          </w:p>
        </w:tc>
        <w:tc>
          <w:tcPr>
            <w:tcW w:type="dxa" w:w="4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Value</w:t>
            </w:r>
          </w:p>
        </w:tc>
        <w:tc>
          <w:tcPr>
            <w:tcW w:type="dxa" w:w="32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Inbound Lure</w:t>
            </w:r>
          </w:p>
        </w:tc>
        <w:tc>
          <w:tcPr>
            <w:tcW w:type="dxa" w:w="4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Grady Archie shared Q3 Board Review - Confidential.xlsx</w:t>
            </w:r>
          </w:p>
        </w:tc>
        <w:tc>
          <w:tcPr>
            <w:tcW w:type="dxa" w:w="32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AiTM file-share phishing lure; deleted by actor from both mailboxes</w:t>
            </w:r>
          </w:p>
        </w:tc>
      </w:tr>
      <w:tr>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Fraud Thread</w:t>
            </w:r>
          </w:p>
        </w:tc>
        <w:tc>
          <w:tcPr>
            <w:tcW w:type="dxa" w:w="4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 Overdue Invoice - Pacific Automotive #INV-2026-0847</w:t>
            </w:r>
          </w:p>
        </w:tc>
        <w:tc>
          <w:tcPr>
            <w:tcW w:type="dxa" w:w="32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Hijacked invoice thread; fraudulent reply sent 09:51 UTC</w:t>
            </w:r>
          </w:p>
        </w:tc>
      </w:tr>
      <w:tr>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 Address</w:t>
            </w:r>
          </w:p>
        </w:tc>
        <w:tc>
          <w:tcPr>
            <w:tcW w:type="dxa" w:w="4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PacificAuto@spam4.me</w:t>
            </w:r>
          </w:p>
        </w:tc>
        <w:tc>
          <w:tcPr>
            <w:tcW w:type="dxa" w:w="32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Recipient of fraudulent reply (attacker-controlled)</w:t>
            </w:r>
          </w:p>
        </w:tc>
      </w:tr>
      <w:tr>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Forwarding Address</w:t>
            </w:r>
          </w:p>
        </w:tc>
        <w:tc>
          <w:tcPr>
            <w:tcW w:type="dxa" w:w="4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PattiF-Waverly@guerrillamail.com</w:t>
            </w:r>
          </w:p>
        </w:tc>
        <w:tc>
          <w:tcPr>
            <w:tcW w:type="dxa" w:w="32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Disposable external forwarding target</w:t>
            </w:r>
          </w:p>
        </w:tc>
      </w:tr>
      <w:tr>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Sample Message-ID</w:t>
            </w:r>
          </w:p>
        </w:tc>
        <w:tc>
          <w:tcPr>
            <w:tcW w:type="dxa" w:w="46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&lt;45fda60d-ef62-4dd7-89f5-2bd9261ffff2@854jpt.onmicrosoft.com&gt;</w:t>
            </w:r>
          </w:p>
        </w:tc>
        <w:tc>
          <w:tcPr>
            <w:tcW w:type="dxa" w:w="32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From collected InternetMessageId list (fraud thread correlation)</w:t>
            </w:r>
          </w:p>
        </w:tc>
      </w:tr>
    </w:tbl>
    <w:p>
      <w:pPr>
        <w:pStyle w:val="Heading2"/>
        <w:keepNext/>
        <w:spacing w:after="80" w:before="180"/>
      </w:pPr>
      <w:r>
        <w:rPr>
          <w:rFonts w:ascii="Calibri" w:cs="Calibri" w:eastAsia="Calibri" w:hAnsi="Calibri"/>
          <w:b/>
          <w:bCs/>
          <w:color w:val="2F5496"/>
          <w:sz w:val="24"/>
          <w:szCs w:val="24"/>
        </w:rPr>
        <w:t xml:space="preserve">7.4 Application and Persistence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200"/>
        <w:gridCol w:w="34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 (identity 13467810270994759681)</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Delete on financial keywords; StopProcessingRules; MailboxGuid 2bd0f423-…</w:t>
            </w:r>
          </w:p>
        </w:tc>
      </w:tr>
      <w:tr>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Forwarding</w:t>
            </w:r>
          </w:p>
        </w:tc>
        <w:tc>
          <w:tcPr>
            <w:tcW w:type="dxa" w:w="42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DeliverToMailboxAndForward → guerrillamail</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External egress on PattiF</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8. Data Exposure Assessment</w:t>
      </w:r>
    </w:p>
    <w:p>
      <w:pPr>
        <w:pStyle w:val="Heading2"/>
        <w:keepNext/>
        <w:spacing w:after="80" w:before="180"/>
      </w:pPr>
      <w:r>
        <w:rPr>
          <w:rFonts w:ascii="Calibri" w:cs="Calibri" w:eastAsia="Calibri" w:hAnsi="Calibri"/>
          <w:b/>
          <w:bCs/>
          <w:color w:val="2F5496"/>
          <w:sz w:val="24"/>
          <w:szCs w:val="24"/>
        </w:rPr>
        <w:t xml:space="preserve">8.1 Methodology</w:t>
      </w:r>
    </w:p>
    <w:p>
      <w:pPr>
        <w:spacing w:after="120" w:before="0" w:line="264"/>
      </w:pPr>
      <w:r>
        <w:rPr>
          <w:rFonts w:ascii="Calibri" w:cs="Calibri" w:eastAsia="Calibri" w:hAnsi="Calibri"/>
          <w:b w:val="false"/>
          <w:bCs w:val="false"/>
          <w:i w:val="false"/>
          <w:iCs w:val="false"/>
          <w:color w:val="1A1A1A"/>
          <w:sz w:val="22"/>
          <w:szCs w:val="22"/>
        </w:rPr>
        <w:t xml:space="preserve">Exposure was assessed from MailItemsAccessed events, UAL activity correlated to the threat-actor IP, forwarding configuration, and message trace. Item-level reads and the outbound fraud send were directly observable.</w:t>
      </w:r>
    </w:p>
    <w:p>
      <w:pPr>
        <w:pStyle w:val="Heading2"/>
        <w:keepNext/>
        <w:spacing w:after="80" w:before="180"/>
      </w:pPr>
      <w:r>
        <w:rPr>
          <w:rFonts w:ascii="Calibri" w:cs="Calibri" w:eastAsia="Calibri" w:hAnsi="Calibri"/>
          <w:b/>
          <w:bCs/>
          <w:color w:val="2F5496"/>
          <w:sz w:val="24"/>
          <w:szCs w:val="24"/>
        </w:rPr>
        <w:t xml:space="preserve">8.2 Mailbox Content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1900"/>
        <w:gridCol w:w="2400"/>
        <w:gridCol w:w="2380"/>
      </w:tblGrid>
      <w:tr>
        <w:trPr>
          <w:tblHeader/>
        </w:trPr>
        <w:tc>
          <w:tcPr>
            <w:tcW w:type="dxa" w:w="28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Affected User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Messages Accessed</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 Window</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Content Categories</w:t>
            </w:r>
          </w:p>
        </w:tc>
      </w:tr>
      <w:tr>
        <w:tc>
          <w:tcPr>
            <w:tcW w:type="dxa" w:w="28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PattiF@854jpt.onmicrosoft.com</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52 items (15 TA UAL entries)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 24, 2026</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Invoice threads; AP correspondence</w:t>
            </w:r>
          </w:p>
        </w:tc>
      </w:tr>
      <w:tr>
        <w:tc>
          <w:tcPr>
            <w:tcW w:type="dxa" w:w="28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PradeepG@854jpt.onmicrosoft.com</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19 items (4 TA UAL entries)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 24, 2026</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General mailbox contents</w:t>
            </w:r>
          </w:p>
        </w:tc>
      </w:tr>
    </w:tbl>
    <w:p>
      <w:pPr>
        <w:pStyle w:val="Heading2"/>
        <w:keepNext/>
        <w:spacing w:after="80" w:before="180"/>
      </w:pPr>
      <w:r>
        <w:rPr>
          <w:rFonts w:ascii="Calibri" w:cs="Calibri" w:eastAsia="Calibri" w:hAnsi="Calibri"/>
          <w:b/>
          <w:bCs/>
          <w:color w:val="2F5496"/>
          <w:sz w:val="24"/>
          <w:szCs w:val="24"/>
        </w:rPr>
        <w:t xml:space="preserve">8.3 File and Document Exposure</w:t>
      </w:r>
    </w:p>
    <w:p>
      <w:pPr>
        <w:spacing w:after="120" w:before="0" w:line="264"/>
      </w:pPr>
      <w:r>
        <w:rPr>
          <w:rFonts w:ascii="Calibri" w:cs="Calibri" w:eastAsia="Calibri" w:hAnsi="Calibri"/>
          <w:b w:val="false"/>
          <w:bCs w:val="false"/>
          <w:i w:val="false"/>
          <w:iCs w:val="false"/>
          <w:color w:val="1A1A1A"/>
          <w:sz w:val="22"/>
          <w:szCs w:val="22"/>
        </w:rPr>
        <w:t xml:space="preserve">No SharePoint or OneDrive file access by the threat actor was identified within the available audit scope.</w:t>
      </w:r>
    </w:p>
    <w:p>
      <w:pPr>
        <w:pStyle w:val="Heading2"/>
        <w:keepNext/>
        <w:spacing w:after="80" w:before="180"/>
      </w:pPr>
      <w:r>
        <w:rPr>
          <w:rFonts w:ascii="Calibri" w:cs="Calibri" w:eastAsia="Calibri" w:hAnsi="Calibri"/>
          <w:b/>
          <w:bCs/>
          <w:color w:val="2F5496"/>
          <w:sz w:val="24"/>
          <w:szCs w:val="24"/>
        </w:rPr>
        <w:t xml:space="preserve">8.4 Regulatory-Significant Data Categories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Category</w:t>
            </w:r>
          </w:p>
        </w:tc>
        <w:tc>
          <w:tcPr>
            <w:tcW w:type="dxa" w:w="6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Finding</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Financial Account Info</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Likely; invoice and AP correspondence accessed.</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PII</w:t>
            </w:r>
          </w:p>
        </w:tc>
        <w:tc>
          <w:tcPr>
            <w:tcW w:type="dxa" w:w="6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Possible in accessed correspondence; under review.</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PHI / PCI</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bl>
    <w:p>
      <w:pPr>
        <w:pStyle w:val="Heading2"/>
        <w:keepNext/>
        <w:spacing w:after="80" w:before="180"/>
      </w:pPr>
      <w:r>
        <w:rPr>
          <w:rFonts w:ascii="Calibri" w:cs="Calibri" w:eastAsia="Calibri" w:hAnsi="Calibri"/>
          <w:b/>
          <w:bCs/>
          <w:color w:val="2F5496"/>
          <w:sz w:val="24"/>
          <w:szCs w:val="24"/>
        </w:rPr>
        <w:t xml:space="preserve">8.5 Exposure Determination</w:t>
      </w:r>
    </w:p>
    <w:p>
      <w:pPr>
        <w:spacing w:after="120" w:before="0" w:line="264"/>
      </w:pPr>
      <w:r>
        <w:rPr>
          <w:rFonts w:ascii="Calibri" w:cs="Calibri" w:eastAsia="Calibri" w:hAnsi="Calibri"/>
          <w:b w:val="false"/>
          <w:bCs w:val="false"/>
          <w:i w:val="false"/>
          <w:iCs w:val="false"/>
          <w:color w:val="1A1A1A"/>
          <w:sz w:val="22"/>
          <w:szCs w:val="22"/>
        </w:rPr>
        <w:t xml:space="preserve">Mailbox content access is confirmed by direct MailItemsAccessed evidence for both accounts. External forwarding created an ongoing egress channel. This is a confirmed data-access incident; because remediation is incomplete, exposure may be continuing until the forwarding and rule are removed.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9. Root Cause Analysis</w:t>
      </w:r>
    </w:p>
    <w:p>
      <w:pPr>
        <w:pStyle w:val="Heading2"/>
        <w:keepNext/>
        <w:spacing w:after="80" w:before="180"/>
      </w:pPr>
      <w:r>
        <w:rPr>
          <w:rFonts w:ascii="Calibri" w:cs="Calibri" w:eastAsia="Calibri" w:hAnsi="Calibri"/>
          <w:b/>
          <w:bCs/>
          <w:color w:val="2F5496"/>
          <w:sz w:val="24"/>
          <w:szCs w:val="24"/>
        </w:rPr>
        <w:t xml:space="preserve">9.1 Primary Root Cause</w:t>
      </w:r>
    </w:p>
    <w:p>
      <w:pPr>
        <w:spacing w:after="120" w:before="0" w:line="264"/>
      </w:pPr>
      <w:r>
        <w:rPr>
          <w:rFonts w:ascii="Calibri" w:cs="Calibri" w:eastAsia="Calibri" w:hAnsi="Calibri"/>
          <w:b w:val="false"/>
          <w:bCs w:val="false"/>
          <w:i w:val="false"/>
          <w:iCs w:val="false"/>
          <w:color w:val="1A1A1A"/>
          <w:sz w:val="22"/>
          <w:szCs w:val="22"/>
        </w:rPr>
        <w:t xml:space="preserve">The primary root cause was AiTM credential-and-token theft via a file-share phishing lure, followed by attacker registration of a new MFA method, converting an initial session into durable, MFA-backed access that password rotation alone would not evict.</w:t>
      </w:r>
    </w:p>
    <w:p>
      <w:pPr>
        <w:pStyle w:val="Heading2"/>
        <w:keepNext/>
        <w:spacing w:after="80" w:before="180"/>
      </w:pPr>
      <w:r>
        <w:rPr>
          <w:rFonts w:ascii="Calibri" w:cs="Calibri" w:eastAsia="Calibri" w:hAnsi="Calibri"/>
          <w:b/>
          <w:bCs/>
          <w:color w:val="2F5496"/>
          <w:sz w:val="24"/>
          <w:szCs w:val="24"/>
        </w:rPr>
        <w:t xml:space="preserve">9.2 Contributing Factors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phishing-resistant MFA and no restriction on user MFA-method registration.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Conditional Access blocking hosting/VPN ASNs (M247, Xneelo).</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blocking of external auto-forwarding to disposable domains.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timely response: risk detections fired but no containment followed for several days.</w:t>
      </w:r>
    </w:p>
    <w:p>
      <w:pPr>
        <w:pStyle w:val="Heading2"/>
        <w:keepNext/>
        <w:spacing w:after="80" w:before="180"/>
      </w:pPr>
      <w:r>
        <w:rPr>
          <w:rFonts w:ascii="Calibri" w:cs="Calibri" w:eastAsia="Calibri" w:hAnsi="Calibri"/>
          <w:b/>
          <w:bCs/>
          <w:color w:val="2F5496"/>
          <w:sz w:val="24"/>
          <w:szCs w:val="24"/>
        </w:rPr>
        <w:t xml:space="preserve">9.3 Detection Gaps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Entra ID Identity Protection raised 16 detections, but no automated containment or timely analyst response occurred.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financial-keyword deletion rule suppressed user-side visibility of fraud-related replies.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alert on external-forwarding configuration to a disposable domain.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10. Containment, Eradication, and Recovery</w:t>
      </w:r>
    </w:p>
    <w:p>
      <w:pPr>
        <w:pStyle w:val="Heading2"/>
        <w:keepNext/>
        <w:spacing w:after="80" w:before="180"/>
      </w:pPr>
      <w:r>
        <w:rPr>
          <w:rFonts w:ascii="Calibri" w:cs="Calibri" w:eastAsia="Calibri" w:hAnsi="Calibri"/>
          <w:b/>
          <w:bCs/>
          <w:color w:val="2F5496"/>
          <w:sz w:val="24"/>
          <w:szCs w:val="24"/>
        </w:rPr>
        <w:t xml:space="preserve">10.1 Containment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Pending (recommended immediately)</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Disable/reset PradeepG and PattiF; revoke all sessions and refresh tokens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yet performed at report time</w:t>
            </w:r>
          </w:p>
        </w:tc>
      </w:tr>
    </w:tbl>
    <w:p>
      <w:pPr>
        <w:pStyle w:val="Heading2"/>
        <w:keepNext/>
        <w:spacing w:after="80" w:before="180"/>
      </w:pPr>
      <w:r>
        <w:rPr>
          <w:rFonts w:ascii="Calibri" w:cs="Calibri" w:eastAsia="Calibri" w:hAnsi="Calibri"/>
          <w:b/>
          <w:bCs/>
          <w:color w:val="2F5496"/>
          <w:sz w:val="24"/>
          <w:szCs w:val="24"/>
        </w:rPr>
        <w:t xml:space="preserve">10.2 Eradication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Pending (recommended immediately)</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 attacker-registered MFA on PattiF; delete “..” rule; remove guerrillamail forwarding</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yet performed at report time</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Pending (recommended immediately)</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Investigate and contain DiegoS if compromised</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yet performed at report time</w:t>
            </w:r>
          </w:p>
        </w:tc>
      </w:tr>
    </w:tbl>
    <w:p>
      <w:pPr>
        <w:pStyle w:val="Heading2"/>
        <w:keepNext/>
        <w:spacing w:after="80" w:before="180"/>
      </w:pPr>
      <w:r>
        <w:rPr>
          <w:rFonts w:ascii="Calibri" w:cs="Calibri" w:eastAsia="Calibri" w:hAnsi="Calibri"/>
          <w:b/>
          <w:bCs/>
          <w:color w:val="2F5496"/>
          <w:sz w:val="24"/>
          <w:szCs w:val="24"/>
        </w:rPr>
        <w:t xml:space="preserve">10.3 Recovery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Pending</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Restore accounts under clean, phishing-resistant MFA after re-securing</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yet performed at report time</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Pending</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for messages to PacificAuto@spam4.me and the guerrillamail address</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yet performed at report time</w:t>
            </w:r>
          </w:p>
        </w:tc>
      </w:tr>
    </w:tbl>
    <w:p>
      <w:pPr>
        <w:pStyle w:val="Heading2"/>
        <w:keepNext/>
        <w:spacing w:after="80" w:before="180"/>
      </w:pPr>
      <w:r>
        <w:rPr>
          <w:rFonts w:ascii="Calibri" w:cs="Calibri" w:eastAsia="Calibri" w:hAnsi="Calibri"/>
          <w:b/>
          <w:bCs/>
          <w:color w:val="2F5496"/>
          <w:sz w:val="24"/>
          <w:szCs w:val="24"/>
        </w:rPr>
        <w:t xml:space="preserve">10.4 Post-Remediation Verification</w:t>
      </w:r>
    </w:p>
    <w:p>
      <w:pPr>
        <w:spacing w:after="120" w:before="0" w:line="264"/>
      </w:pPr>
      <w:r>
        <w:rPr>
          <w:rFonts w:ascii="Calibri" w:cs="Calibri" w:eastAsia="Calibri" w:hAnsi="Calibri"/>
          <w:b w:val="false"/>
          <w:bCs w:val="false"/>
          <w:i w:val="false"/>
          <w:iCs w:val="false"/>
          <w:color w:val="1A1A1A"/>
          <w:sz w:val="22"/>
          <w:szCs w:val="22"/>
        </w:rPr>
        <w:t xml:space="preserve">No post-remediation verification is possible because remediation had not been performed at the time of this interim report. Upon completion of the immediate actions in Section 11, a verification sweep should re-collect sign-in, rule, forwarding, and MFA state and confirm no residual persistence, and this report should be updated to a final version.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11. Recommendations</w:t>
      </w:r>
    </w:p>
    <w:p>
      <w:pPr>
        <w:pStyle w:val="Heading2"/>
        <w:keepNext/>
        <w:spacing w:after="80" w:before="180"/>
      </w:pPr>
      <w:r>
        <w:rPr>
          <w:rFonts w:ascii="Calibri" w:cs="Calibri" w:eastAsia="Calibri" w:hAnsi="Calibri"/>
          <w:b/>
          <w:bCs/>
          <w:color w:val="2F5496"/>
          <w:sz w:val="24"/>
          <w:szCs w:val="24"/>
        </w:rPr>
        <w:t xml:space="preserve">11.1 Immediate (within 7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Disable or reset PradeepG and PattiF now; revoke all active sessions and refresh tokens.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Remove the attacker-registered MFA method from PattiF; delete the “..” inbox rule; disable the guerrillamail forwarding.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Investigate DiegoS (high-severity detection 38 minutes before the compromises) and contain if compromised.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Contact Adele Vance and any recipients of the fraudulent invoice reply; verify and halt any in-flight payment on INV-2026-0847 and initiate recall if needed.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Content-search for correspondence to PacificAuto@spam4.me and PattiF-Waverly@guerrillamail.com and purge as appropriate.</w:t>
      </w:r>
    </w:p>
    <w:p>
      <w:pPr>
        <w:pStyle w:val="Heading2"/>
        <w:keepNext/>
        <w:spacing w:after="80" w:before="180"/>
      </w:pPr>
      <w:r>
        <w:rPr>
          <w:rFonts w:ascii="Calibri" w:cs="Calibri" w:eastAsia="Calibri" w:hAnsi="Calibri"/>
          <w:b/>
          <w:bCs/>
          <w:color w:val="2F5496"/>
          <w:sz w:val="24"/>
          <w:szCs w:val="24"/>
        </w:rPr>
        <w:t xml:space="preserve">11.2 Short-Term (within 30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Restrict user MFA-method registration and block external auto-forwarding to disposable domains.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Deploy Conditional Access to block hosting/VPN ASNs and challenge anonymized-IP sign-ins.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Route Entra ID Identity Protection detections to an alert channel with a response SLA.</w:t>
      </w:r>
    </w:p>
    <w:p>
      <w:pPr>
        <w:pStyle w:val="Heading2"/>
        <w:keepNext/>
        <w:spacing w:after="80" w:before="180"/>
      </w:pPr>
      <w:r>
        <w:rPr>
          <w:rFonts w:ascii="Calibri" w:cs="Calibri" w:eastAsia="Calibri" w:hAnsi="Calibri"/>
          <w:b/>
          <w:bCs/>
          <w:color w:val="2F5496"/>
          <w:sz w:val="24"/>
          <w:szCs w:val="24"/>
        </w:rPr>
        <w:t xml:space="preserve">11.3 Medium-Term (within 90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Roll out phishing-resistant MFA (FIDO2) for finance and AP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Implement token protection (token binding) via Conditional Access where supported.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Add alerting on MFA registration, inbox-rule creation with financial keywords, and forwarding changes.</w:t>
      </w:r>
    </w:p>
    <w:p>
      <w:pPr>
        <w:pStyle w:val="Heading2"/>
        <w:keepNext/>
        <w:spacing w:after="80" w:before="180"/>
      </w:pPr>
      <w:r>
        <w:rPr>
          <w:rFonts w:ascii="Calibri" w:cs="Calibri" w:eastAsia="Calibri" w:hAnsi="Calibri"/>
          <w:b/>
          <w:bCs/>
          <w:color w:val="2F5496"/>
          <w:sz w:val="24"/>
          <w:szCs w:val="24"/>
        </w:rPr>
        <w:t xml:space="preserve">11.4 Strategic (longer-term posture)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Establish an incident-response SLA so risk detections trigger timely containment (this incident sat unremediated for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Institute out-of-band verification for all invoice and payment changes.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12. Lessons Learned</w:t>
      </w:r>
    </w:p>
    <w:p>
      <w:pPr>
        <w:pStyle w:val="Heading2"/>
        <w:keepNext/>
        <w:spacing w:after="80" w:before="180"/>
      </w:pPr>
      <w:r>
        <w:rPr>
          <w:rFonts w:ascii="Calibri" w:cs="Calibri" w:eastAsia="Calibri" w:hAnsi="Calibri"/>
          <w:b/>
          <w:bCs/>
          <w:color w:val="2F5496"/>
          <w:sz w:val="24"/>
          <w:szCs w:val="24"/>
        </w:rPr>
        <w:t xml:space="preserve">12.1 What Worked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MailItemsAccessed and Identity Protection were licensed and enabled, giving a precise, evidence-based reconstruction.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investigation clearly enumerated the exact containment steps required, so the client can act immediately.</w:t>
      </w:r>
    </w:p>
    <w:p>
      <w:pPr>
        <w:pStyle w:val="Heading2"/>
        <w:keepNext/>
        <w:spacing w:after="80" w:before="180"/>
      </w:pPr>
      <w:r>
        <w:rPr>
          <w:rFonts w:ascii="Calibri" w:cs="Calibri" w:eastAsia="Calibri" w:hAnsi="Calibri"/>
          <w:b/>
          <w:bCs/>
          <w:color w:val="2F5496"/>
          <w:sz w:val="24"/>
          <w:szCs w:val="24"/>
        </w:rPr>
        <w:t xml:space="preserve">12.2 What Did Not Work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Despite 16 risk detections, no containment occurred for several days; the fraud attempt and forwarding remained active.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Attacker MFA self-registration and external disposable-domain forwarding were both possible.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PattiF was marked “dismissed” in risky users while still compromised, and PradeepG/DiegoS remained at risk.</w:t>
      </w:r>
    </w:p>
    <w:p>
      <w:pPr>
        <w:pStyle w:val="Heading2"/>
        <w:keepNext/>
        <w:spacing w:after="80" w:before="180"/>
      </w:pPr>
      <w:r>
        <w:rPr>
          <w:rFonts w:ascii="Calibri" w:cs="Calibri" w:eastAsia="Calibri" w:hAnsi="Calibri"/>
          <w:b/>
          <w:bCs/>
          <w:color w:val="2F5496"/>
          <w:sz w:val="24"/>
          <w:szCs w:val="24"/>
        </w:rPr>
        <w:t xml:space="preserve">12.3 Process Improvements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Wire Identity Protection detections to an alert channel with a response SLA and, where possible, automated containment.</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Restrict MFA registration and block external auto-forwarding to disposable domains.</w:t>
      </w:r>
    </w:p>
    <w:p>
      <w:pPr>
        <w:spacing w:after="120" w:before="60" w:line="264"/>
      </w:pPr>
      <w:r>
        <w:rPr>
          <w:rFonts w:ascii="Calibri" w:cs="Calibri" w:eastAsia="Calibri" w:hAnsi="Calibri"/>
          <w:b w:val="false"/>
          <w:bCs w:val="false"/>
          <w:i/>
          <w:iCs/>
          <w:color w:val="666666"/>
          <w:sz w:val="20"/>
          <w:szCs w:val="20"/>
        </w:rPr>
        <w:t xml:space="preserve">A deeper internal review of the response is captured in the separate internal post-mortem; this section is the client-facing summary.</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13. Appendices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A: Full sign-in events from threat-actor IP addresses.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B: MailItemsAccessed / Unified Audit Log export for affected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C: Screenshots of malicious inbox rules. [Screenshot: inbox rule configuration]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D: Full IOC list in machine-readable format (CSV).</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E: Raw script outputs relevant to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F: User interview notes.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G: Copies of communications with affected third parties.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Control</w:t>
      </w:r>
    </w:p>
    <w:p>
      <w:pPr>
        <w:pStyle w:val="Heading2"/>
        <w:keepNext/>
        <w:spacing w:after="80" w:before="180"/>
      </w:pPr>
      <w:r>
        <w:rPr>
          <w:rFonts w:ascii="Calibri" w:cs="Calibri" w:eastAsia="Calibri" w:hAnsi="Calibri"/>
          <w:b/>
          <w:bCs/>
          <w:color w:val="2F5496"/>
          <w:sz w:val="24"/>
          <w:szCs w:val="24"/>
        </w:rPr>
        <w:t xml:space="preserve">Revision History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200"/>
        <w:gridCol w:w="2600"/>
        <w:gridCol w:w="3480"/>
      </w:tblGrid>
      <w:tr>
        <w:trPr>
          <w:tblHeader/>
        </w:trPr>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Version</w:t>
            </w:r>
          </w:p>
        </w:tc>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Author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Change Summary</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0.1</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29, 2026</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draft from investigation findings.</w:t>
            </w:r>
          </w:p>
        </w:tc>
      </w:tr>
      <w:tr>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0.2</w:t>
            </w:r>
          </w:p>
        </w:tc>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29, 2026</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review revisions.</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29, 2026</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Final, delivered to client.</w:t>
            </w:r>
          </w:p>
        </w:tc>
      </w:tr>
    </w:tbl>
    <w:p>
      <w:pPr>
        <w:pStyle w:val="Heading2"/>
        <w:keepNext/>
        <w:spacing w:after="80" w:before="180"/>
      </w:pPr>
      <w:r>
        <w:rPr>
          <w:rFonts w:ascii="Calibri" w:cs="Calibri" w:eastAsia="Calibri" w:hAnsi="Calibri"/>
          <w:b/>
          <w:bCs/>
          <w:color w:val="2F5496"/>
          <w:sz w:val="24"/>
          <w:szCs w:val="24"/>
        </w:rPr>
        <w:t xml:space="preserve">Approval and Delivery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200"/>
        <w:gridCol w:w="2000"/>
        <w:gridCol w:w="2480"/>
      </w:tblGrid>
      <w:tr>
        <w:trPr>
          <w:tblHeader/>
        </w:trPr>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Name / Title</w:t>
            </w:r>
          </w:p>
        </w:tc>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Method</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Prepared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29, 2026</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By</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29, 2026</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29, 2026</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Delivered To</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[Recipient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July 29, 2026</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[Secure delivery]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Waverly Manufacturing · BEC-2026-0724</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Waverly Manufacturing Investigation Report</dc:title>
  <dc:creator>[Your Organization]</dc:creator>
  <cp:lastModifiedBy>Un-named</cp:lastModifiedBy>
  <cp:revision>1</cp:revision>
  <dcterms:created xsi:type="dcterms:W3CDTF">2026-07-31T07:35:17.651Z</dcterms:created>
  <dcterms:modified xsi:type="dcterms:W3CDTF">2026-07-31T07:35:17.652Z</dcterms:modified>
</cp:coreProperties>
</file>

<file path=docProps/custom.xml><?xml version="1.0" encoding="utf-8"?>
<Properties xmlns="http://schemas.openxmlformats.org/officeDocument/2006/custom-properties" xmlns:vt="http://schemas.openxmlformats.org/officeDocument/2006/docPropsVTypes"/>
</file>