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ECEA" w:color="auto" w:val="clear"/>
        <w:spacing w:after="120"/>
      </w:pPr>
      <w:r>
        <w:rPr>
          <w:rFonts w:ascii="Calibri" w:cs="Calibri" w:eastAsia="Calibri" w:hAnsi="Calibri"/>
          <w:b/>
          <w:bCs/>
          <w:color w:val="9C2A2A"/>
          <w:sz w:val="20"/>
          <w:szCs w:val="20"/>
        </w:rPr>
        <w:t xml:space="preserve">INTERNAL USE ONLY: Not for client or external distribution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Incident Response Post-Mortem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00"/>
        <w:gridCol w:w="6680"/>
      </w:tblGrid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Reference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BEC-2026-0724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Client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Waverly Manufacturing (redact for wide distribution)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Incident Date Range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July 24, 2026 (compromise); investigated July 28–29, 2026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Detection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July 2026 (wire-fraud report / Entra ID risk detections)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Containment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yet performed at time of interim report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Post-Mortem Date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 Name]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Attendees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[Responder names / roles]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Internal, [team/department]</w:t>
            </w:r>
          </w:p>
        </w:tc>
      </w:tr>
      <w:tr>
        <w:tc>
          <w:tcPr>
            <w:tcW w:type="dxa" w:w="3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INTERNAL USE ONLY: Not for client or external distribution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1. Incident Summary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Two Waverly accounts were compromised via AiTM on July 24, 2026, with attacker MFA registration, a financial-keyword deletion rule, external forwarding, and an active invoice-thread wire-fraud attempt. Entra ID raised 16 risk detections, but no containment had occurred by the time we investigated on July 28–29. This post-mortem is candid that our largest gap here was response latency. Full findings are in the interim investigation report (Ref BEC-2026-0724).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2. Response Timeline</w:t>
      </w:r>
    </w:p>
    <w:p>
      <w:pPr>
        <w:spacing w:after="120" w:before="0" w:line="264"/>
      </w:pPr>
      <w:r>
        <w:rPr>
          <w:rFonts w:ascii="Calibri" w:cs="Calibri" w:eastAsia="Calibri" w:hAnsi="Calibri"/>
          <w:b w:val="false"/>
          <w:bCs w:val="false"/>
          <w:i/>
          <w:iCs/>
          <w:color w:val="666666"/>
          <w:sz w:val="20"/>
          <w:szCs w:val="20"/>
        </w:rPr>
        <w:t xml:space="preserve">Our actions and information received (not the attacker's timeline). Times in UTC.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50"/>
        <w:gridCol w:w="1600"/>
        <w:gridCol w:w="3600"/>
        <w:gridCol w:w="2530"/>
      </w:tblGrid>
      <w:tr>
        <w:trPr>
          <w:tblHeader/>
        </w:trPr>
        <w:tc>
          <w:tcPr>
            <w:tcW w:type="dxa" w:w="195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Timestamp (UTC)</w:t>
            </w:r>
          </w:p>
        </w:tc>
        <w:tc>
          <w:tcPr>
            <w:tcW w:type="dxa" w:w="1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53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2026-07-24 08:28–09:51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Attacker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Compromise, MFA reg, rule, forwarding, fraudulent send (see IR timeline)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195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2026-07-24</w:t>
            </w:r>
          </w:p>
        </w:tc>
        <w:tc>
          <w:tcPr>
            <w:tcW w:type="dxa" w:w="1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System</w:t>
            </w:r>
          </w:p>
        </w:tc>
        <w:tc>
          <w:tcPr>
            <w:tcW w:type="dxa" w:w="3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Entra ID Identity Protection raised 16 risk detections</w:t>
            </w:r>
          </w:p>
        </w:tc>
        <w:tc>
          <w:tcPr>
            <w:tcW w:type="dxa" w:w="253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Signal not actioned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2026-07-28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Engagement started; collection and correlation began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Late start</w:t>
            </w:r>
          </w:p>
        </w:tc>
      </w:tr>
      <w:tr>
        <w:tc>
          <w:tcPr>
            <w:tcW w:type="dxa" w:w="195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2026-07-29</w:t>
            </w:r>
          </w:p>
        </w:tc>
        <w:tc>
          <w:tcPr>
            <w:tcW w:type="dxa" w:w="1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Responder</w:t>
            </w:r>
          </w:p>
        </w:tc>
        <w:tc>
          <w:tcPr>
            <w:tcW w:type="dxa" w:w="3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Interim report issued with required containment steps</w:t>
            </w:r>
          </w:p>
        </w:tc>
        <w:tc>
          <w:tcPr>
            <w:tcW w:type="dxa" w:w="253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Remediation pending</w:t>
            </w:r>
          </w:p>
        </w:tc>
      </w:tr>
      <w:tr>
        <w:tc>
          <w:tcPr>
            <w:tcW w:type="dxa" w:w="195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Client / Responder</w:t>
            </w:r>
          </w:p>
        </w:tc>
        <w:tc>
          <w:tcPr>
            <w:tcW w:type="dxa" w:w="3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Execute containment on PattiF, PradeepG, DiegoS</w:t>
            </w:r>
          </w:p>
        </w:tc>
        <w:tc>
          <w:tcPr>
            <w:tcW w:type="dxa" w:w="253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3. What Went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Licensing gave us MailItemsAccessed and Identity Protection, so the reconstruction is precise and evidence-based.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produced an unambiguous, prioritized containment list so remediation can be executed immediately.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We caught the layered persistence (attacker MFA + delete rule + forwarding), not just the obvious fraud email.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4. What Did Not Go Well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largest gap was response latency: 16 risk detections fired on July 24 but nothing was contained for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PattiF was marked “dismissed” in risky users while still compromised, which is a dangerous mislabel.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Attacker MFA self-registration and external disposable-domain forwarding were both possible and unblocked.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5. Where We Got Lucky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confirmed transfer had completed by the time we investigated; the fraud thread was live and unremediated, and only the counterparty’s caution (not our response) would have stopped a payment.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actor left the lure and thread artifacts recoverable enough to reconstruct intent; more thorough cleanup would have obscured the scheme.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DiegoS was not confirmed compromised despite an early high-severity detection; that was not the result of any control we applied.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6. Root Causes of Response Gaps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000"/>
        <w:gridCol w:w="4680"/>
        <w:gridCol w:w="2000"/>
      </w:tblGrid>
      <w:tr>
        <w:trPr>
          <w:tblHeader/>
        </w:trPr>
        <w:tc>
          <w:tcPr>
            <w:tcW w:type="dxa" w:w="3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Surface Problem</w:t>
            </w:r>
          </w:p>
        </w:tc>
        <w:tc>
          <w:tcPr>
            <w:tcW w:type="dxa" w:w="46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Underlying Cause (5-Whys)</w:t>
            </w:r>
          </w:p>
        </w:tc>
        <w:tc>
          <w:tcPr>
            <w:tcW w:type="dxa" w:w="2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Days of unremediated compromise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Risk detections not routed to a response SLA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Process</w:t>
            </w:r>
          </w:p>
        </w:tc>
      </w:tr>
      <w:tr>
        <w:tc>
          <w:tcPr>
            <w:tcW w:type="dxa" w:w="3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Persistent MFA-backed access</w:t>
            </w:r>
          </w:p>
        </w:tc>
        <w:tc>
          <w:tcPr>
            <w:tcW w:type="dxa" w:w="46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MFA self-registration allowed; no phishing-resistant MFA</w:t>
            </w:r>
          </w:p>
        </w:tc>
        <w:tc>
          <w:tcPr>
            <w:tcW w:type="dxa" w:w="2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Environment</w:t>
            </w:r>
          </w:p>
        </w:tc>
      </w:tr>
      <w:tr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External egress channel</w:t>
            </w:r>
          </w:p>
        </w:tc>
        <w:tc>
          <w:tcPr>
            <w:tcW w:type="dxa" w:w="46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Auto-forwarding to disposable domains not blocked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Environment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7. Action Items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00"/>
        <w:gridCol w:w="4180"/>
        <w:gridCol w:w="1400"/>
        <w:gridCol w:w="1400"/>
        <w:gridCol w:w="1200"/>
        <w:gridCol w:w="1000"/>
      </w:tblGrid>
      <w:tr>
        <w:trPr>
          <w:tblHeader/>
        </w:trPr>
        <w:tc>
          <w:tcPr>
            <w:tcW w:type="dxa" w:w="5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1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1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Execute containment on PattiF, PradeepG; investigate DiegoS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1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Verify/halt any in-flight INV-2026-0847 payment; notify AdeleV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Route Identity Protection detections to alert channel with response SLA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[+14 days]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1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Block external forwarding to disposable domains; restrict MFA registration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[+14 days]</w:t>
            </w:r>
          </w:p>
        </w:tc>
        <w:tc>
          <w:tcPr>
            <w:tcW w:type="dxa" w:w="1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1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Deploy phishing-resistant MFA for finance/AP users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[+45 days]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8. Tooling and Playbook Changes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8.1 Scripts and Tools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MailItemsAccessed and forwarding/rule enumeration to standard wire-fraud BEC intake (already valuable here).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8.2 Playbook and Runbook Updates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Add an explicit SLA: any Identity Protection high-severity detection triggers containment within N hours.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8.3 Detection and Alerting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on external auto-forwarding to disposable domains.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Alert on MFA registration and on financial-keyword delete rules.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8.4 Documentation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KB: reconciling risky-users state (dismissed vs atRisk) with actual containment, owner [Owner].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9. Training and Knowledge Gaps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Brief staff that a “dismissed” risky-user state is not remediation; require verified containment.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Reinforce AP out-of-band verification for invoice/payment changes.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10. Client Relationship Notes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Response latency is the key client conversation: detections existed but were not actioned; agree on an SLA and escalation path.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Tenant uses onmicrosoft.com primary domain; confirm vanity-domain and forwarding controls in follow-up.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11. Response Metrics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4200"/>
        <w:gridCol w:w="5880"/>
      </w:tblGrid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Dwell time (compromise to detection)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Detections same day (Jul 24); response days later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Detection to containment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achieved at report time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Accounts confirmed compromised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(PattiF, PradeepG)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Accounts at risk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(DiegoS)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Mailbox items accessed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52 (PattiF) + 19 (PradeepG)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Persistence artifacts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Attacker MFA + delete rule + forwarding</w:t>
            </w:r>
          </w:p>
        </w:tc>
      </w:tr>
      <w:tr>
        <w:tc>
          <w:tcPr>
            <w:tcW w:type="dxa" w:w="4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Confirmed financial loss</w:t>
            </w:r>
          </w:p>
        </w:tc>
        <w:tc>
          <w:tcPr>
            <w:tcW w:type="dxa" w:w="58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$0 at report time (attempt active)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Did any INV-2026-0847 payment proceed? Requires client/bank confirmation.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Is DiegoS compromised? High-severity detection but no confirmed takeover.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were the risk detections not actioned for days? Process/ownership gap to resolve.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13. Follow-Up Schedule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1900"/>
        <w:gridCol w:w="1900"/>
        <w:gridCol w:w="4080"/>
      </w:tblGrid>
      <w:tr>
        <w:trPr>
          <w:tblHeader/>
        </w:trPr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9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40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Review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Immediate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 containment executed on all affected accounts</w:t>
            </w:r>
          </w:p>
        </w:tc>
      </w:tr>
      <w:tr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days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Confirm response SLA, forwarding block, and MFA-registration restriction are live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90 days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[date]</w:t>
            </w:r>
          </w:p>
        </w:tc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[Owner]</w:t>
            </w:r>
          </w:p>
        </w:tc>
        <w:tc>
          <w:tcPr>
            <w:tcW w:type="dxa" w:w="40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 no recurrence; review phishing-resistant MFA rollout</w:t>
            </w:r>
          </w:p>
        </w:tc>
      </w:tr>
    </w:tbl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14. References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Investigation Report, Waverly Manufacturing, v1.0, July 29, 2026 (Ref BEC-2026-0724).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Attestation Letter (if issued), July 29, 2026.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Ticket / Case: BEC-2026-0724.</w:t>
      </w:r>
    </w:p>
    <w:p>
      <w:pPr>
        <w:pStyle w:val="Heading1"/>
        <w:keepNext/>
        <w:pBdr>
          <w:bottom w:val="single" w:color="2F5496" w:sz="6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2F5496"/>
          <w:sz w:val="28"/>
          <w:szCs w:val="28"/>
        </w:rPr>
        <w:t xml:space="preserve">Revision History</w:t>
      </w:r>
    </w:p>
    <w:tbl>
      <w:tblPr>
        <w:tblW w:type="dxa" w:w="1008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400"/>
        <w:gridCol w:w="2200"/>
        <w:gridCol w:w="2600"/>
        <w:gridCol w:w="3480"/>
      </w:tblGrid>
      <w:tr>
        <w:trPr>
          <w:tblHeader/>
        </w:trPr>
        <w:tc>
          <w:tcPr>
            <w:tcW w:type="dxa" w:w="14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480"/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14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0.1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[Facilitator]</w:t>
            </w:r>
          </w:p>
        </w:tc>
        <w:tc>
          <w:tcPr>
            <w:tcW w:type="dxa" w:w="3480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Initial draft from post-mortem meeting.</w:t>
            </w:r>
          </w:p>
        </w:tc>
      </w:tr>
      <w:tr>
        <w:tc>
          <w:tcPr>
            <w:tcW w:type="dxa" w:w="14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22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[within two weeks of closure]</w:t>
            </w:r>
          </w:p>
        </w:tc>
        <w:tc>
          <w:tcPr>
            <w:tcW w:type="dxa" w:w="260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[Facilitator]</w:t>
            </w:r>
          </w:p>
        </w:tc>
        <w:tc>
          <w:tcPr>
            <w:tcW w:type="dxa" w:w="3480"/>
            <w:shd w:fill="F2F5FA" w:color="auto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Final; action items tracked separately.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Calibri" w:cs="Calibri" w:eastAsia="Calibri" w:hAnsi="Calibri"/>
        <w:color w:val="666666"/>
        <w:sz w:val="16"/>
        <w:szCs w:val="16"/>
      </w:rPr>
      <w:t xml:space="preserve">INTERNAL USE ONLY · BEC-2026-0724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6666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  <w:lvl w:ilvl="1" w15:tentative="1">
      <w:start w:val="1"/>
      <w:numFmt w:val="lowerLetter"/>
      <w:lvlText w:val="%2.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Waverly Manufacturing Post-Mortem</dc:title>
  <dc:creator>[Your Organization]</dc:creator>
  <cp:lastModifiedBy>Un-named</cp:lastModifiedBy>
  <cp:revision>1</cp:revision>
  <dcterms:created xsi:type="dcterms:W3CDTF">2026-07-31T07:35:17.814Z</dcterms:created>
  <dcterms:modified xsi:type="dcterms:W3CDTF">2026-07-31T07:35:17.814Z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