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center"/>
      </w:pPr>
      <w:r>
        <w:rPr>
          <w:rFonts w:ascii="Times New Roman" w:hAnsi="Times New Roman"/>
          <w:b/>
          <w:i w:val="0"/>
          <w:sz w:val="28"/>
        </w:rPr>
        <w:t>SREDA's Institutional Capacity to Deliver Bangladesh's</w:t>
      </w:r>
    </w:p>
    <w:p>
      <w:pPr>
        <w:spacing w:line="360" w:lineRule="auto" w:before="0" w:after="0"/>
        <w:jc w:val="center"/>
      </w:pPr>
      <w:r>
        <w:rPr>
          <w:rFonts w:ascii="Times New Roman" w:hAnsi="Times New Roman"/>
          <w:b/>
          <w:i w:val="0"/>
          <w:sz w:val="28"/>
        </w:rPr>
        <w:t>Renewable Targets: A Mandate, Capacity, and</w:t>
      </w:r>
    </w:p>
    <w:p>
      <w:pPr>
        <w:spacing w:line="360" w:lineRule="auto" w:before="0" w:after="0"/>
        <w:jc w:val="center"/>
      </w:pPr>
      <w:r>
        <w:rPr>
          <w:rFonts w:ascii="Times New Roman" w:hAnsi="Times New Roman"/>
          <w:b/>
          <w:i w:val="0"/>
          <w:sz w:val="28"/>
        </w:rPr>
        <w:t>Accountability Analysis</w:t>
      </w:r>
    </w:p>
    <w:p>
      <w:pPr>
        <w:spacing w:line="360" w:lineRule="auto" w:before="0" w:after="0"/>
        <w:jc w:val="both"/>
      </w:pPr>
    </w:p>
    <w:p>
      <w:pPr>
        <w:spacing w:line="360" w:lineRule="auto" w:before="0" w:after="0"/>
        <w:jc w:val="center"/>
      </w:pPr>
      <w:r>
        <w:rPr>
          <w:rFonts w:ascii="Times New Roman" w:hAnsi="Times New Roman"/>
          <w:b w:val="0"/>
          <w:i w:val="0"/>
          <w:sz w:val="24"/>
        </w:rPr>
        <w:t>Term Paper: [No.]</w:t>
      </w:r>
    </w:p>
    <w:p>
      <w:pPr>
        <w:spacing w:line="360" w:lineRule="auto" w:before="0" w:after="0"/>
        <w:jc w:val="center"/>
      </w:pPr>
      <w:r>
        <w:rPr>
          <w:rFonts w:ascii="Times New Roman" w:hAnsi="Times New Roman"/>
          <w:b w:val="0"/>
          <w:i w:val="0"/>
          <w:sz w:val="24"/>
        </w:rPr>
        <w:t>Course: Renewable Energy Technologies</w:t>
      </w:r>
    </w:p>
    <w:p>
      <w:pPr>
        <w:spacing w:line="360" w:lineRule="auto" w:before="0" w:after="0"/>
        <w:jc w:val="center"/>
      </w:pPr>
      <w:r>
        <w:rPr>
          <w:rFonts w:ascii="Times New Roman" w:hAnsi="Times New Roman"/>
          <w:b w:val="0"/>
          <w:i w:val="0"/>
          <w:sz w:val="24"/>
        </w:rPr>
        <w:t>Course No: ENV-524</w:t>
      </w:r>
    </w:p>
    <w:p>
      <w:pPr>
        <w:spacing w:line="360" w:lineRule="auto" w:before="0" w:after="0"/>
        <w:jc w:val="both"/>
      </w:pPr>
    </w:p>
    <w:p>
      <w:pPr>
        <w:spacing w:line="360" w:lineRule="auto" w:before="0" w:after="0"/>
        <w:jc w:val="both"/>
      </w:pPr>
    </w:p>
    <w:tbl>
      <w:tblPr>
        <w:tblW w:type="auto" w:w="0"/>
        <w:jc w:val="center"/>
        <w:tblLayout w:type="autofit"/>
        <w:tblLook w:firstColumn="1" w:firstRow="1" w:lastColumn="0" w:lastRow="0" w:noHBand="0" w:noVBand="1" w:val="04A0"/>
      </w:tblPr>
      <w:tblGrid>
        <w:gridCol w:w="4680"/>
        <w:gridCol w:w="4680"/>
      </w:tblGrid>
      <w:tr>
        <w:tc>
          <w:tcPr>
            <w:tcW w:type="dxa" w:w="4680"/>
          </w:tcPr>
          <w:p>
            <w:pPr>
              <w:spacing w:line="360" w:lineRule="auto" w:before="0" w:after="0"/>
              <w:jc w:val="center"/>
            </w:pPr>
            <w:r>
              <w:rPr>
                <w:rFonts w:ascii="Times New Roman" w:hAnsi="Times New Roman"/>
                <w:b/>
                <w:sz w:val="24"/>
              </w:rPr>
              <w:t>Submitted By</w:t>
            </w:r>
          </w:p>
          <w:p>
            <w:pPr>
              <w:spacing w:line="360" w:lineRule="auto" w:before="0" w:after="0"/>
              <w:jc w:val="center"/>
            </w:pPr>
            <w:r>
              <w:rPr>
                <w:rFonts w:ascii="Times New Roman" w:hAnsi="Times New Roman"/>
                <w:b w:val="0"/>
                <w:sz w:val="24"/>
              </w:rPr>
              <w:t>[Student's Full Name]</w:t>
            </w:r>
          </w:p>
          <w:p>
            <w:pPr>
              <w:spacing w:line="360" w:lineRule="auto" w:before="0" w:after="0"/>
              <w:jc w:val="center"/>
            </w:pPr>
            <w:r>
              <w:rPr>
                <w:rFonts w:ascii="Times New Roman" w:hAnsi="Times New Roman"/>
                <w:b w:val="0"/>
                <w:sz w:val="24"/>
              </w:rPr>
              <w:t>Id: [Student ID]</w:t>
            </w:r>
          </w:p>
          <w:p>
            <w:pPr>
              <w:spacing w:line="360" w:lineRule="auto" w:before="0" w:after="0"/>
              <w:jc w:val="center"/>
            </w:pPr>
            <w:r>
              <w:rPr>
                <w:rFonts w:ascii="Times New Roman" w:hAnsi="Times New Roman"/>
                <w:b w:val="0"/>
                <w:sz w:val="24"/>
              </w:rPr>
              <w:t>Session: [Session]</w:t>
            </w:r>
          </w:p>
          <w:p>
            <w:pPr>
              <w:spacing w:line="360" w:lineRule="auto" w:before="0" w:after="0"/>
              <w:jc w:val="center"/>
            </w:pPr>
            <w:r>
              <w:rPr>
                <w:rFonts w:ascii="Times New Roman" w:hAnsi="Times New Roman"/>
                <w:b w:val="0"/>
                <w:sz w:val="24"/>
              </w:rPr>
              <w:t>Institute of Forestry and</w:t>
            </w:r>
          </w:p>
          <w:p>
            <w:pPr>
              <w:spacing w:line="360" w:lineRule="auto" w:before="0" w:after="0"/>
              <w:jc w:val="center"/>
            </w:pPr>
            <w:r>
              <w:rPr>
                <w:rFonts w:ascii="Times New Roman" w:hAnsi="Times New Roman"/>
                <w:b w:val="0"/>
                <w:sz w:val="24"/>
              </w:rPr>
              <w:t>Environmental Sciences</w:t>
            </w:r>
          </w:p>
          <w:p>
            <w:pPr>
              <w:spacing w:line="360" w:lineRule="auto" w:before="0" w:after="0"/>
              <w:jc w:val="center"/>
            </w:pPr>
            <w:r>
              <w:rPr>
                <w:rFonts w:ascii="Times New Roman" w:hAnsi="Times New Roman"/>
                <w:b w:val="0"/>
                <w:sz w:val="24"/>
              </w:rPr>
              <w:t>University of Chittagong</w:t>
            </w:r>
          </w:p>
        </w:tc>
        <w:tc>
          <w:tcPr>
            <w:tcW w:type="dxa" w:w="4680"/>
          </w:tcPr>
          <w:p>
            <w:pPr>
              <w:spacing w:line="360" w:lineRule="auto" w:before="0" w:after="0"/>
              <w:jc w:val="center"/>
            </w:pPr>
            <w:r>
              <w:rPr>
                <w:rFonts w:ascii="Times New Roman" w:hAnsi="Times New Roman"/>
                <w:b/>
                <w:sz w:val="24"/>
              </w:rPr>
              <w:t>Submitted To</w:t>
            </w:r>
          </w:p>
          <w:p>
            <w:pPr>
              <w:spacing w:line="360" w:lineRule="auto" w:before="0" w:after="0"/>
              <w:jc w:val="center"/>
            </w:pPr>
            <w:r>
              <w:rPr>
                <w:rFonts w:ascii="Times New Roman" w:hAnsi="Times New Roman"/>
                <w:b w:val="0"/>
                <w:sz w:val="24"/>
              </w:rPr>
              <w:t>Mohammed Mosharraf Hossain</w:t>
            </w:r>
          </w:p>
          <w:p>
            <w:pPr>
              <w:spacing w:line="360" w:lineRule="auto" w:before="0" w:after="0"/>
              <w:jc w:val="center"/>
            </w:pPr>
            <w:r>
              <w:rPr>
                <w:rFonts w:ascii="Times New Roman" w:hAnsi="Times New Roman"/>
                <w:b w:val="0"/>
                <w:sz w:val="24"/>
              </w:rPr>
              <w:t>Professor</w:t>
            </w:r>
          </w:p>
          <w:p>
            <w:pPr>
              <w:spacing w:line="360" w:lineRule="auto" w:before="0" w:after="0"/>
              <w:jc w:val="center"/>
            </w:pPr>
            <w:r>
              <w:rPr>
                <w:rFonts w:ascii="Times New Roman" w:hAnsi="Times New Roman"/>
                <w:b w:val="0"/>
                <w:sz w:val="24"/>
              </w:rPr>
              <w:t>Institute of Forestry and</w:t>
            </w:r>
          </w:p>
          <w:p>
            <w:pPr>
              <w:spacing w:line="360" w:lineRule="auto" w:before="0" w:after="0"/>
              <w:jc w:val="center"/>
            </w:pPr>
            <w:r>
              <w:rPr>
                <w:rFonts w:ascii="Times New Roman" w:hAnsi="Times New Roman"/>
                <w:b w:val="0"/>
                <w:sz w:val="24"/>
              </w:rPr>
              <w:t>Environmental Sciences</w:t>
            </w:r>
          </w:p>
          <w:p>
            <w:pPr>
              <w:spacing w:line="360" w:lineRule="auto" w:before="0" w:after="0"/>
              <w:jc w:val="center"/>
            </w:pPr>
            <w:r>
              <w:rPr>
                <w:rFonts w:ascii="Times New Roman" w:hAnsi="Times New Roman"/>
                <w:b w:val="0"/>
                <w:sz w:val="24"/>
              </w:rPr>
              <w:t>University of Chittagong</w:t>
            </w:r>
          </w:p>
        </w:tc>
      </w:tr>
    </w:tbl>
    <w:p>
      <w:r>
        <w:br w:type="page"/>
      </w:r>
    </w:p>
    <w:p>
      <w:pPr>
        <w:spacing w:line="360" w:lineRule="auto" w:before="0" w:after="0"/>
        <w:jc w:val="center"/>
      </w:pPr>
      <w:r>
        <w:rPr>
          <w:rFonts w:ascii="Times New Roman" w:hAnsi="Times New Roman"/>
          <w:b/>
          <w:i w:val="0"/>
          <w:sz w:val="24"/>
        </w:rPr>
        <w:t>Abstract</w:t>
      </w:r>
    </w:p>
    <w:p>
      <w:pPr>
        <w:spacing w:line="360" w:lineRule="auto" w:before="0" w:after="120"/>
        <w:jc w:val="both"/>
      </w:pPr>
      <w:r>
        <w:rPr>
          <w:rFonts w:ascii="Times New Roman" w:hAnsi="Times New Roman"/>
          <w:b w:val="0"/>
          <w:i w:val="0"/>
          <w:sz w:val="24"/>
        </w:rPr>
        <w:t>Bangladesh has committed to an ambitious renewable energy transition, most recently pledging to generate 20 percent of its electricity from renewable sources by 2030 and 30 percent by 2040 under the Renewable Energy Policy 2025. The Sustainable and Renewable Energy Development Authority (SREDA) is the nodal agency responsible for delivering these targets, yet renewable energy still constitutes less than 6 percent of the country's installed generation capacity. This term paper examines whether SREDA possesses the institutional wherewithal to close this gap by applying a three-part analytical framework covering mandate, capacity, and accountability. Drawing on recent policy documents, governance assessments, and peer-reviewed literature published between 2020 and 2026, the analysis finds a systematic mismatch between the breadth of SREDA's legal responsibilities and the depth of its human, financial, and enforcement resources. SREDA holds a promotional and coordinating mandate without regulatory authority, operates with a skeletal workforce and a declining budget, and is embedded in a fragmented accountability structure marked by inconsistent national targets and weak enforcement instruments. The paper concludes that achieving Bangladesh's renewable targets requires transforming SREDA from an advisory body into an empowered, autonomous, and adequately resourced implementation authority, supported by a ring-fenced renewable energy fund and harmonized national planning.</w:t>
      </w:r>
    </w:p>
    <w:p>
      <w:pPr>
        <w:spacing w:line="360" w:lineRule="auto" w:before="0" w:after="120"/>
        <w:jc w:val="left"/>
      </w:pPr>
      <w:r>
        <w:rPr>
          <w:rFonts w:ascii="Times New Roman" w:hAnsi="Times New Roman"/>
          <w:i/>
          <w:sz w:val="24"/>
        </w:rPr>
        <w:t xml:space="preserve">Keywords: </w:t>
      </w:r>
      <w:r>
        <w:rPr>
          <w:rFonts w:ascii="Times New Roman" w:hAnsi="Times New Roman"/>
          <w:sz w:val="24"/>
        </w:rPr>
        <w:t>SREDA, Bangladesh, renewable energy targets, institutional capacity, energy governance, accountability</w:t>
      </w:r>
    </w:p>
    <w:p>
      <w:r>
        <w:br w:type="page"/>
      </w:r>
    </w:p>
    <w:p>
      <w:pPr>
        <w:spacing w:line="360" w:lineRule="auto" w:before="0" w:after="120"/>
        <w:jc w:val="left"/>
      </w:pPr>
      <w:r>
        <w:rPr>
          <w:rFonts w:ascii="Times New Roman" w:hAnsi="Times New Roman"/>
          <w:b/>
          <w:i w:val="0"/>
          <w:sz w:val="24"/>
        </w:rPr>
        <w:t>1. Introduction</w:t>
      </w:r>
    </w:p>
    <w:p>
      <w:pPr>
        <w:spacing w:line="360" w:lineRule="auto" w:before="0" w:after="120"/>
        <w:jc w:val="both"/>
      </w:pPr>
      <w:r>
        <w:rPr>
          <w:rFonts w:ascii="Times New Roman" w:hAnsi="Times New Roman"/>
          <w:b w:val="0"/>
          <w:i w:val="0"/>
          <w:sz w:val="24"/>
        </w:rPr>
        <w:t>Bangladesh has achieved near-universal electrification while remaining overwhelmingly dependent on natural gas, imported fuels, and coal (Das et al., 2020). Renewable energy is widely recognized as central to the country's energy security, fiscal stability, and climate commitments, yet its share of the generation mix has remained persistently marginal despite considerable solar potential (Abdulrazak et al., 2021; Hasan et al., 2022). The institution formally charged with changing this trajectory is the Sustainable and Renewable Energy Development Authority (SREDA), established as the national nodal agency for renewable energy and energy efficiency under the Sustainable and Renewable Energy Development Authority Act of 2012.</w:t>
      </w:r>
    </w:p>
    <w:p>
      <w:pPr>
        <w:spacing w:line="360" w:lineRule="auto" w:before="0" w:after="120"/>
        <w:jc w:val="both"/>
      </w:pPr>
      <w:r>
        <w:rPr>
          <w:rFonts w:ascii="Times New Roman" w:hAnsi="Times New Roman"/>
          <w:b w:val="0"/>
          <w:i w:val="0"/>
          <w:sz w:val="24"/>
        </w:rPr>
        <w:t>The stakes attached to SREDA's performance have risen sharply. The Renewable Energy Policy 2025 targets meeting 20 percent of electricity demand from renewable sources by 2030 and 30 percent by 2040, and it assigns SREDA the leading role in coordinating, managing, and overseeing all grid-connected and off-grid renewable projects (Power Division, 2025; The Daily Star, 2025). Whether these targets are credible depends less on technology or resource potential than on the institutional machinery expected to deliver them (Hossain et al., 2024). This paper therefore asks whether SREDA possesses the mandate, the capacity, and the accountability arrangements necessary to deliver Bangladesh's renewable targets. Section 2 reviews the country's renewable energy targets and policy landscape; Section 3 introduces the analytical framework; Sections 4, 5, and 6 analyse SREDA's mandate, capacity, and accountability in turn; Section 7 discusses the combined findings; Section 8 offers recommendations; and Section 9 concludes.</w:t>
      </w:r>
    </w:p>
    <w:p>
      <w:pPr>
        <w:spacing w:line="360" w:lineRule="auto" w:before="0" w:after="120"/>
        <w:jc w:val="left"/>
      </w:pPr>
      <w:r>
        <w:rPr>
          <w:rFonts w:ascii="Times New Roman" w:hAnsi="Times New Roman"/>
          <w:b/>
          <w:i w:val="0"/>
          <w:sz w:val="24"/>
        </w:rPr>
        <w:t>2. Bangladesh's Renewable Energy Targets and the Policy Landscape</w:t>
      </w:r>
    </w:p>
    <w:p>
      <w:pPr>
        <w:spacing w:line="360" w:lineRule="auto" w:before="0" w:after="120"/>
        <w:jc w:val="left"/>
      </w:pPr>
      <w:r>
        <w:rPr>
          <w:rFonts w:ascii="Times New Roman" w:hAnsi="Times New Roman"/>
          <w:b/>
          <w:i w:val="0"/>
          <w:sz w:val="24"/>
        </w:rPr>
        <w:t>2.1 Current Status of Renewable Energy</w:t>
      </w:r>
    </w:p>
    <w:p>
      <w:pPr>
        <w:spacing w:line="360" w:lineRule="auto" w:before="0" w:after="120"/>
        <w:jc w:val="both"/>
      </w:pPr>
      <w:r>
        <w:rPr>
          <w:rFonts w:ascii="Times New Roman" w:hAnsi="Times New Roman"/>
          <w:b w:val="0"/>
          <w:i w:val="0"/>
          <w:sz w:val="24"/>
        </w:rPr>
        <w:t>Bangladesh's renewable performance provides the baseline against which SREDA's institutional adequacy must be judged. As of mid-2025, the country's combined grid and off-grid renewable capacity stood at approximately 1,563 megawatts, equivalent to only about 5.6 percent of total installed capacity of 27,426 megawatts (The Daily Star, 2025). On-grid renewable capacity was even lower at roughly 1,105 megawatts, and although 2024 recorded the fastest annual growth in the country's history with around 331 megawatts added, only about 500 megawatts of utility-scale projects were at an advanced stage of construction entering 2025 (Alam, 2025a). Solar energy dominates the renewable portfolio, reflecting both the success of the off-grid solar home system program and the slow progress of utility-scale deployment (Abdullah-Al-Mahbub &amp; Islam, 2023).</w:t>
      </w:r>
    </w:p>
    <w:p>
      <w:pPr>
        <w:spacing w:line="360" w:lineRule="auto" w:before="0" w:after="120"/>
        <w:jc w:val="left"/>
      </w:pPr>
      <w:r>
        <w:rPr>
          <w:rFonts w:ascii="Times New Roman" w:hAnsi="Times New Roman"/>
          <w:b/>
          <w:i w:val="0"/>
          <w:sz w:val="24"/>
        </w:rPr>
        <w:t>2.2 A Crowded and Inconsistent Target Landscape</w:t>
      </w:r>
    </w:p>
    <w:p>
      <w:pPr>
        <w:spacing w:line="360" w:lineRule="auto" w:before="0" w:after="120"/>
        <w:jc w:val="both"/>
      </w:pPr>
      <w:r>
        <w:rPr>
          <w:rFonts w:ascii="Times New Roman" w:hAnsi="Times New Roman"/>
          <w:b w:val="0"/>
          <w:i w:val="0"/>
          <w:sz w:val="24"/>
        </w:rPr>
        <w:t>Against this modest baseline, Bangladesh has accumulated an unusually crowded and inconsistent set of targets. The updated Nationally Determined Contribution committed the country to implementing 911.8 megawatts of renewable projects unconditionally and 4,114.3 megawatts conditionally by 2030 (Ministry of Environment, Forest and Climate Change, 2021). The Mujib Climate Prosperity Plan raised the ambition to 30 percent renewable energy by 2030 and up to 40 percent by 2041, contingent on international investment support (Government of Bangladesh, 2022). The Integrated Energy and Power Master Plan of 2023 then reframed the goal as 40 percent “clean energy” by 2041, a category that includes nuclear power, hydrogen, ammonia co-firing, and carbon capture, leaving conventional renewables at only around 9 percent, or roughly 5,280 megawatts, of the 2041 mix (Ministry of Power, Energy and Mineral Resources, 2023; Climate Analytics, 2025). Most recently, the Renewable Energy Policy 2025 established the operative targets of 20 percent by 2030 and 30 percent by 2040 (Power Division, 2025). These overlapping frameworks embody different definitions, baselines, and levels of ambition, and the resulting confusion between clean energy and renewable energy has produced fragmented governance and weak coordination (South Asian Network on Economic Modeling [SANEM], 2026). For SREDA, the practical consequence is that the institution is accountable for delivering targets that the state itself has not consistently defined.</w:t>
      </w:r>
    </w:p>
    <w:p>
      <w:pPr>
        <w:spacing w:line="360" w:lineRule="auto" w:before="0" w:after="120"/>
        <w:jc w:val="left"/>
      </w:pPr>
      <w:r>
        <w:rPr>
          <w:rFonts w:ascii="Times New Roman" w:hAnsi="Times New Roman"/>
          <w:b/>
          <w:i w:val="0"/>
          <w:sz w:val="24"/>
        </w:rPr>
        <w:t>3. Analytical Framework: Mandate, Capacity, and Accountability</w:t>
      </w:r>
    </w:p>
    <w:p>
      <w:pPr>
        <w:spacing w:line="360" w:lineRule="auto" w:before="0" w:after="120"/>
        <w:jc w:val="both"/>
      </w:pPr>
      <w:r>
        <w:rPr>
          <w:rFonts w:ascii="Times New Roman" w:hAnsi="Times New Roman"/>
          <w:b w:val="0"/>
          <w:i w:val="0"/>
          <w:sz w:val="24"/>
        </w:rPr>
        <w:t>This paper assesses SREDA through three interdependent institutional dimensions. The first is mandate, meaning the formal authority conferred by law and policy, including the scope of assigned functions and the powers available to perform them. The second is capacity, meaning the human, financial, technical, and organizational resources that convert formal authority into action. The third is accountability, meaning the arrangements through which the institution is directed, monitored, and sanctioned, both vertically within government and horizontally across the agencies whose cooperation it requires. The framework reflects a consistent finding in the recent literature that transition outcomes in Bangladesh are shaped less by resource endowments than by institutional quality, policy coherence, and political economy dynamics (Islam et al., 2022; SANEM, 2025). A mismatch along any one dimension, such as a broad mandate paired with thin capacity, tends to produce symbolic rather than substantive implementation (Hossain et al., 2024).</w:t>
      </w:r>
    </w:p>
    <w:p>
      <w:pPr>
        <w:spacing w:line="360" w:lineRule="auto" w:before="0" w:after="120"/>
        <w:jc w:val="left"/>
      </w:pPr>
      <w:r>
        <w:rPr>
          <w:rFonts w:ascii="Times New Roman" w:hAnsi="Times New Roman"/>
          <w:b/>
          <w:i w:val="0"/>
          <w:sz w:val="24"/>
        </w:rPr>
        <w:t>4. Mandate Analysis</w:t>
      </w:r>
    </w:p>
    <w:p>
      <w:pPr>
        <w:spacing w:line="360" w:lineRule="auto" w:before="0" w:after="120"/>
        <w:jc w:val="left"/>
      </w:pPr>
      <w:r>
        <w:rPr>
          <w:rFonts w:ascii="Times New Roman" w:hAnsi="Times New Roman"/>
          <w:b/>
          <w:i w:val="0"/>
          <w:sz w:val="24"/>
        </w:rPr>
        <w:t>4.1 The Statutory Mandate Under the SREDA Act</w:t>
      </w:r>
    </w:p>
    <w:p>
      <w:pPr>
        <w:spacing w:line="360" w:lineRule="auto" w:before="0" w:after="120"/>
        <w:jc w:val="both"/>
      </w:pPr>
      <w:r>
        <w:rPr>
          <w:rFonts w:ascii="Times New Roman" w:hAnsi="Times New Roman"/>
          <w:b w:val="0"/>
          <w:i w:val="0"/>
          <w:sz w:val="24"/>
        </w:rPr>
        <w:t>SREDA was created by Act No. 48 of 2012 and began operations in 2014 as the national nodal organization for sustainable energy, encompassing renewable energy development and demand-side energy efficiency and conservation (Sustainable and Renewable Energy Development Authority Act, 2012). The Act assigns SREDA a wide portfolio of functions, including creating public awareness, coordinating implementation across government, semi-government, and autonomous bodies, encouraging research and development, identifying innovative financing, and assisting the government in drafting laws and regulations for sustainable energy development (Sustainable and Renewable Energy Development Authority Act, 2012). Notably, these are predominantly promotional, advisory, and coordinating functions; the Act does not equip SREDA with licensing powers, tariff-setting authority, or enforcement instruments comparable to those of a sectoral regulator.</w:t>
      </w:r>
    </w:p>
    <w:p>
      <w:pPr>
        <w:spacing w:line="360" w:lineRule="auto" w:before="0" w:after="120"/>
        <w:jc w:val="left"/>
      </w:pPr>
      <w:r>
        <w:rPr>
          <w:rFonts w:ascii="Times New Roman" w:hAnsi="Times New Roman"/>
          <w:b/>
          <w:i w:val="0"/>
          <w:sz w:val="24"/>
        </w:rPr>
        <w:t>4.2 The Expanded Mandate Under the Renewable Energy Policy 2025</w:t>
      </w:r>
    </w:p>
    <w:p>
      <w:pPr>
        <w:spacing w:line="360" w:lineRule="auto" w:before="0" w:after="120"/>
        <w:jc w:val="both"/>
      </w:pPr>
      <w:r>
        <w:rPr>
          <w:rFonts w:ascii="Times New Roman" w:hAnsi="Times New Roman"/>
          <w:b w:val="0"/>
          <w:i w:val="0"/>
          <w:sz w:val="24"/>
        </w:rPr>
        <w:t>The Renewable Energy Policy 2025 dramatically widens SREDA's responsibilities without correspondingly widening its powers. The policy directs SREDA to prepare a time-bound national renewable energy roadmap, introduce a renewable purchase obligation requiring utilities to procure a specified share of renewable power, operationalize renewable energy certificates, develop guidelines for peer-to-peer rooftop solar trading, follow up the net metering framework, establish a national quality control and research laboratory, promote local manufacturing, and coordinate human resource development across the sector (Power Division, 2025; The Daily Star, 2025). The policy itself concedes the institutional problem it creates, stating that SREDA's institutional framework should be expanded and strengthened, including preparation of a technical workforce, given the level of activities envisaged (Power Division, 2025).</w:t>
      </w:r>
    </w:p>
    <w:p>
      <w:pPr>
        <w:spacing w:line="360" w:lineRule="auto" w:before="0" w:after="120"/>
        <w:jc w:val="left"/>
      </w:pPr>
      <w:r>
        <w:rPr>
          <w:rFonts w:ascii="Times New Roman" w:hAnsi="Times New Roman"/>
          <w:b/>
          <w:i w:val="0"/>
          <w:sz w:val="24"/>
        </w:rPr>
        <w:t>4.3 The Mandate–Authority Gap and Institutional Overlaps</w:t>
      </w:r>
    </w:p>
    <w:p>
      <w:pPr>
        <w:spacing w:line="360" w:lineRule="auto" w:before="0" w:after="120"/>
        <w:jc w:val="both"/>
      </w:pPr>
      <w:r>
        <w:rPr>
          <w:rFonts w:ascii="Times New Roman" w:hAnsi="Times New Roman"/>
          <w:b w:val="0"/>
          <w:i w:val="0"/>
          <w:sz w:val="24"/>
        </w:rPr>
        <w:t>The central weakness of SREDA's mandate is the gap between responsibility and authority. SREDA was designed as a technical agency lacking regulatory authority, budget control, and inter-ministerial enforcement power; it can recommend but cannot mandate, can plan but cannot fund, and can facilitate approvals but cannot compel grid connection (Centre for Policy Dialogue [CPD], 2026b). Its role has consequently remained largely confined to issuing policy directives, without the institutional mechanisms necessary for implementation (Transparency International Bangladesh [TIB], 2025). The mandate is further complicated by overlaps with more powerful incumbents: the Power Division retains policy formulation and execution, the Bangladesh Power Development Board controls procurement and power purchase agreements, the Bangladesh Energy Regulatory Commission holds licensing and tariff jurisdiction, and the Infrastructure Development Company Limited dominates off-grid renewable financing (SANEM, 2025). Within this crowded institutional field, SREDA occupies a coordinating position without hierarchical leverage over the very agencies whose decisions determine whether renewable projects are tendered, financed, connected, and paid.</w:t>
      </w:r>
    </w:p>
    <w:p>
      <w:pPr>
        <w:spacing w:line="360" w:lineRule="auto" w:before="0" w:after="120"/>
        <w:jc w:val="left"/>
      </w:pPr>
      <w:r>
        <w:rPr>
          <w:rFonts w:ascii="Times New Roman" w:hAnsi="Times New Roman"/>
          <w:b/>
          <w:i w:val="0"/>
          <w:sz w:val="24"/>
        </w:rPr>
        <w:t>5. Capacity Analysis</w:t>
      </w:r>
    </w:p>
    <w:p>
      <w:pPr>
        <w:spacing w:line="360" w:lineRule="auto" w:before="0" w:after="120"/>
        <w:jc w:val="left"/>
      </w:pPr>
      <w:r>
        <w:rPr>
          <w:rFonts w:ascii="Times New Roman" w:hAnsi="Times New Roman"/>
          <w:b/>
          <w:i w:val="0"/>
          <w:sz w:val="24"/>
        </w:rPr>
        <w:t>5.1 Human Resource Capacity</w:t>
      </w:r>
    </w:p>
    <w:p>
      <w:pPr>
        <w:spacing w:line="360" w:lineRule="auto" w:before="0" w:after="120"/>
        <w:jc w:val="both"/>
      </w:pPr>
      <w:r>
        <w:rPr>
          <w:rFonts w:ascii="Times New Roman" w:hAnsi="Times New Roman"/>
          <w:b w:val="0"/>
          <w:i w:val="0"/>
          <w:sz w:val="24"/>
        </w:rPr>
        <w:t>SREDA's staffing is strikingly small relative to its national mandate. The organization operates with a limited approved organogram, largely filled through deputation from other Power Division entities rather than a dedicated professional cadre, and vacancies are recurrent (TIB, 2025). The consequences are visible across its core functions. The authority's research cell has effectively consisted of one member and a driver, rendering meaningful research output impossible, and SREDA has no offices at the divisional, district, or regional levels despite the nationwide footprint of renewable deployment and the policy ambition of establishing a renewable energy hub (TIB, 2025). Independent assessments reach the same conclusion, finding that SREDA lacks sufficient human resources to meet the sector's growing demand and that capacity enhancement is the first step in accelerating the transition (Alam, 2025a).</w:t>
      </w:r>
    </w:p>
    <w:p>
      <w:pPr>
        <w:spacing w:line="360" w:lineRule="auto" w:before="0" w:after="120"/>
        <w:jc w:val="left"/>
      </w:pPr>
      <w:r>
        <w:rPr>
          <w:rFonts w:ascii="Times New Roman" w:hAnsi="Times New Roman"/>
          <w:b/>
          <w:i w:val="0"/>
          <w:sz w:val="24"/>
        </w:rPr>
        <w:t>5.2 Financial Capacity</w:t>
      </w:r>
    </w:p>
    <w:p>
      <w:pPr>
        <w:spacing w:line="360" w:lineRule="auto" w:before="0" w:after="120"/>
        <w:jc w:val="both"/>
      </w:pPr>
      <w:r>
        <w:rPr>
          <w:rFonts w:ascii="Times New Roman" w:hAnsi="Times New Roman"/>
          <w:b w:val="0"/>
          <w:i w:val="0"/>
          <w:sz w:val="24"/>
        </w:rPr>
        <w:t>SREDA's financial position has deteriorated even as its responsibilities have expanded. Government financial allocations to the authority have shown a declining trend in recent years, in direct tension with the state's escalating renewable commitments (TIB, 2025). The national budget for fiscal year 2025–26 excluded the one billion taka renewable energy fund that had been allocated in the previous year, signalling that budgetary priorities do not match the ambitions of the new policy (Alam, 2025b). The scale of the financing gap is substantial: realizing the Renewable Energy Policy 2025 would require investments of approximately 980 million United States dollars annually until 2030 and about 1.46 billion dollars annually until 2040 (Climate Analytics, 2025). No dedicated, legally protected renewable energy development fund yet exists, and renewable allocations have repeatedly been absorbed into general energy spending or dropped during budget revisions (CPD, 2026b). An institution that cannot fund projects, administer meaningful incentives, or secure its own operating resources cannot realistically steer a capital-intensive transition.</w:t>
      </w:r>
    </w:p>
    <w:p>
      <w:pPr>
        <w:spacing w:line="360" w:lineRule="auto" w:before="0" w:after="120"/>
        <w:jc w:val="left"/>
      </w:pPr>
      <w:r>
        <w:rPr>
          <w:rFonts w:ascii="Times New Roman" w:hAnsi="Times New Roman"/>
          <w:b/>
          <w:i w:val="0"/>
          <w:sz w:val="24"/>
        </w:rPr>
        <w:t>5.3 Technical and Organizational Capacity</w:t>
      </w:r>
    </w:p>
    <w:p>
      <w:pPr>
        <w:spacing w:line="360" w:lineRule="auto" w:before="0" w:after="120"/>
        <w:jc w:val="both"/>
      </w:pPr>
      <w:r>
        <w:rPr>
          <w:rFonts w:ascii="Times New Roman" w:hAnsi="Times New Roman"/>
          <w:b w:val="0"/>
          <w:i w:val="0"/>
          <w:sz w:val="24"/>
        </w:rPr>
        <w:t>Beyond personnel and money, SREDA exhibits gaps in the technical infrastructure of implementation. The authority lacks the capacity to maintain a comprehensive national database on renewable energy potential, grid load, and environmental impacts, which undermines evidence-based planning (TIB, 2025). The national quality control and research laboratory envisaged in the Renewable Energy Policy 2025 has yet to be established, leaving equipment standards enforcement dependent on coordination with other bodies such as the Bangladesh Standards and Testing Institution (Power Division, 2025; Alam, 2025a). Flagship initiatives illustrate the delivery risk: the national rooftop solar program launched in July 2025, targeting up to 3,000 megawatts on public buildings, has recorded negligible progress owing to implementation gaps (CPD, 2026b). The pattern conforms to a broader finding in the scholarly literature that Bangladesh's renewable underperformance stems primarily from institutional and implementation constraints rather than from resource scarcity (Hasan et al., 2022; Hossain et al., 2024).</w:t>
      </w:r>
    </w:p>
    <w:p>
      <w:pPr>
        <w:spacing w:line="360" w:lineRule="auto" w:before="0" w:after="120"/>
        <w:jc w:val="left"/>
      </w:pPr>
      <w:r>
        <w:rPr>
          <w:rFonts w:ascii="Times New Roman" w:hAnsi="Times New Roman"/>
          <w:b/>
          <w:i w:val="0"/>
          <w:sz w:val="24"/>
        </w:rPr>
        <w:t>6. Accountability Analysis</w:t>
      </w:r>
    </w:p>
    <w:p>
      <w:pPr>
        <w:spacing w:line="360" w:lineRule="auto" w:before="0" w:after="120"/>
        <w:jc w:val="left"/>
      </w:pPr>
      <w:r>
        <w:rPr>
          <w:rFonts w:ascii="Times New Roman" w:hAnsi="Times New Roman"/>
          <w:b/>
          <w:i w:val="0"/>
          <w:sz w:val="24"/>
        </w:rPr>
        <w:t>6.1 Vertical Accountability and Autonomy</w:t>
      </w:r>
    </w:p>
    <w:p>
      <w:pPr>
        <w:spacing w:line="360" w:lineRule="auto" w:before="0" w:after="120"/>
        <w:jc w:val="both"/>
      </w:pPr>
      <w:r>
        <w:rPr>
          <w:rFonts w:ascii="Times New Roman" w:hAnsi="Times New Roman"/>
          <w:b w:val="0"/>
          <w:i w:val="0"/>
          <w:sz w:val="24"/>
        </w:rPr>
        <w:t>SREDA is not an independent authority in any meaningful sense. It operates under the administrative control of the Power Division within the Ministry of Power, Energy and Mineral Resources, which retains policy formulation, execution, and development functions for renewable energy (Power Division, 2025). This subordination means that SREDA's priorities, leadership, and resources are determined by a ministry whose institutional attention has historically been directed toward fossil-fuel-based capacity expansion (SANEM, 2025). Governance assessments have therefore recommended that SREDA be granted the status of an autonomous institution so that it can lead the renewable transition with enhanced technical, human, and infrastructural capacity (TIB, 2025). Without such autonomy, accountability flows upward to the ministry rather than outward to the public targets the agency is nominally responsible for achieving.</w:t>
      </w:r>
    </w:p>
    <w:p>
      <w:pPr>
        <w:spacing w:line="360" w:lineRule="auto" w:before="0" w:after="120"/>
        <w:jc w:val="left"/>
      </w:pPr>
      <w:r>
        <w:rPr>
          <w:rFonts w:ascii="Times New Roman" w:hAnsi="Times New Roman"/>
          <w:b/>
          <w:i w:val="0"/>
          <w:sz w:val="24"/>
        </w:rPr>
        <w:t>6.2 Enforcement Instruments and Horizontal Accountability</w:t>
      </w:r>
    </w:p>
    <w:p>
      <w:pPr>
        <w:spacing w:line="360" w:lineRule="auto" w:before="0" w:after="120"/>
        <w:jc w:val="both"/>
      </w:pPr>
      <w:r>
        <w:rPr>
          <w:rFonts w:ascii="Times New Roman" w:hAnsi="Times New Roman"/>
          <w:b w:val="0"/>
          <w:i w:val="0"/>
          <w:sz w:val="24"/>
        </w:rPr>
        <w:t>Accountability also fails horizontally, because SREDA has no instruments with which to hold other actors to the national targets. The renewable purchase obligation and renewable energy certificate schemes announced in the new policy could, in principle, create enforceable demand for renewable power, but their adoption and enforcement depend on guidelines that SREDA must prepare and on compliance behavior it cannot sanction (Power Division, 2025; The Daily Star, 2025). The wider regulatory environment compounds the problem: the 2023 amendment to the Bangladesh Energy Regulatory Commission Act enabled the government to set tariffs unilaterally, bypassing the regulator's oversight and weakening the predictability that renewable investors require (SANEM, 2025). Meanwhile, the sector's political economy has historically favored fossil-fuel incumbents through subsidies, capacity payments, and entrenched patronage networks that marginalize renewable energy in investment decisions (TIB, 2025; SANEM, 2025). A national White Paper committee estimated illicit transactions of at least three billion United States dollars in the power and energy sector, underscoring how weak sectoral accountability dwarfs the corrective influence of a small nodal agency (SANEM, 2026).</w:t>
      </w:r>
    </w:p>
    <w:p>
      <w:pPr>
        <w:spacing w:line="360" w:lineRule="auto" w:before="0" w:after="120"/>
        <w:jc w:val="left"/>
      </w:pPr>
      <w:r>
        <w:rPr>
          <w:rFonts w:ascii="Times New Roman" w:hAnsi="Times New Roman"/>
          <w:b/>
          <w:i w:val="0"/>
          <w:sz w:val="24"/>
        </w:rPr>
        <w:t>6.3 Monitoring, Transparency, and Target Credibility</w:t>
      </w:r>
    </w:p>
    <w:p>
      <w:pPr>
        <w:spacing w:line="360" w:lineRule="auto" w:before="0" w:after="120"/>
        <w:jc w:val="both"/>
      </w:pPr>
      <w:r>
        <w:rPr>
          <w:rFonts w:ascii="Times New Roman" w:hAnsi="Times New Roman"/>
          <w:b w:val="0"/>
          <w:i w:val="0"/>
          <w:sz w:val="24"/>
        </w:rPr>
        <w:t>Finally, accountability requires credible measurement, and here the fragmentation of targets is itself an accountability failure. Because the Nationally Determined Contribution, the Mujib Climate Prosperity Plan, the master plan, and the Renewable Energy Policy 2025 embody divergent goals, no single benchmark exists against which SREDA's performance can be transparently judged (SANEM, 2026; CPD, 2026a). As the sector's nodal agency, SREDA is expected to periodically monitor project progress, identify areas of concern, and apprise the Power Division when course correction is needed, yet its monitoring role remains informational rather than consequential (Alam, 2025a). The interim government's new Energy and Power Sector Master Plan for 2026 to 2050 offers an opportunity to define clear timelines, responsibilities, and authority, but analysts caution that the draft still leaves institutional leadership roles insufficiently specified (CPD, 2026a).</w:t>
      </w:r>
    </w:p>
    <w:p>
      <w:pPr>
        <w:spacing w:line="360" w:lineRule="auto" w:before="0" w:after="120"/>
        <w:jc w:val="left"/>
      </w:pPr>
      <w:r>
        <w:rPr>
          <w:rFonts w:ascii="Times New Roman" w:hAnsi="Times New Roman"/>
          <w:b/>
          <w:i w:val="0"/>
          <w:sz w:val="24"/>
        </w:rPr>
        <w:t>7. Discussion</w:t>
      </w:r>
    </w:p>
    <w:p>
      <w:pPr>
        <w:spacing w:line="360" w:lineRule="auto" w:before="0" w:after="120"/>
        <w:jc w:val="both"/>
      </w:pPr>
      <w:r>
        <w:rPr>
          <w:rFonts w:ascii="Times New Roman" w:hAnsi="Times New Roman"/>
          <w:b w:val="0"/>
          <w:i w:val="0"/>
          <w:sz w:val="24"/>
        </w:rPr>
        <w:t>Read together, the three dimensions reveal a coherent institutional diagnosis: SREDA suffers from responsibility without power, obligation without resources, and oversight without consequence. The arithmetic of the 2030 target makes the delivery gap concrete. Meeting the 20 percent goal implies building roughly 6,145 megawatts of combined renewable capacity by 2030, which would require adding around 750 megawatts every year between 2025 and 2030, whereas the country's best year on record added only about 331 megawatts and the project pipeline thinned after the cancellation of unsolicited letters of intent (Alam, 2025a, 2025b). An agency of a few dozen staff, with a shrinking budget and no enforcement powers, cannot plausibly close a gap of this magnitude through awareness campaigns and guideline drafting alone.</w:t>
      </w:r>
    </w:p>
    <w:p>
      <w:pPr>
        <w:spacing w:line="360" w:lineRule="auto" w:before="0" w:after="120"/>
        <w:jc w:val="both"/>
      </w:pPr>
      <w:r>
        <w:rPr>
          <w:rFonts w:ascii="Times New Roman" w:hAnsi="Times New Roman"/>
          <w:b w:val="0"/>
          <w:i w:val="0"/>
          <w:sz w:val="24"/>
        </w:rPr>
        <w:t>The analysis also cautions against interpreting the Renewable Energy Policy 2025 as a solution in itself. Assigning an expansive to-do list to a structurally weak agency risks a form of paper compliance in which roadmaps, guidelines, and databases are produced while megawatts are not. The scholarly literature on Bangladesh's energy transition consistently identifies institutional fragmentation, weak governance, and misaligned incentives as the binding constraints, implying that institutional reform is not a complement to renewable deployment but its precondition (Islam et al., 2022; Hossain et al., 2024; SANEM, 2025). The encouraging counterpoint is that recent momentum, including record capacity additions in 2024 and a policy framework that finally embraces competitive procurement and open consumer participation, demonstrates that progress accelerates when institutional signals align (Alam, 2025a; The Daily Star, 2025).</w:t>
      </w:r>
    </w:p>
    <w:p>
      <w:pPr>
        <w:spacing w:line="360" w:lineRule="auto" w:before="0" w:after="120"/>
        <w:jc w:val="left"/>
      </w:pPr>
      <w:r>
        <w:rPr>
          <w:rFonts w:ascii="Times New Roman" w:hAnsi="Times New Roman"/>
          <w:b/>
          <w:i w:val="0"/>
          <w:sz w:val="24"/>
        </w:rPr>
        <w:t>8. Recommendations</w:t>
      </w:r>
    </w:p>
    <w:p>
      <w:pPr>
        <w:spacing w:line="360" w:lineRule="auto" w:before="0" w:after="120"/>
        <w:jc w:val="both"/>
      </w:pPr>
      <w:r>
        <w:rPr>
          <w:rFonts w:ascii="Times New Roman" w:hAnsi="Times New Roman"/>
          <w:b w:val="0"/>
          <w:i w:val="0"/>
          <w:sz w:val="24"/>
        </w:rPr>
        <w:t>Five reforms follow directly from the analysis. First, SREDA's legal status should be upgraded from a subordinate technical agency to an autonomous statutory authority, or restructured into a renewable energy regulatory and implementation authority with genuine regulatory instruments, including powers to issue licenses, set procurement standards, enforce power purchase agreement timelines, and impose penalties for grid connection delays (TIB, 2025; CPD, 2026b). Second, the approved organogram should be expanded severalfold with a dedicated technical cadre, functional research and data units, and divisional field offices, ending dependence on short-term deputation (TIB, 2025). Third, financing should be stabilized through a dedicated, legally ring-fenced renewable energy development fund governed jointly by SREDA, the Ministry of Finance, and Bangladesh Bank, with annual development program allocations scaled in proportion to megawatt deployment targets (CPD, 2026b). Fourth, the renewable purchase obligation and renewable energy certificate mechanisms should be implemented with binding compliance schedules and credible sanctions so that demand for renewable power no longer depends on voluntary utility behavior (Power Division, 2025). Finally, the forthcoming national master plan should harmonize all renewable targets into a single, transparent benchmark with published annual progress reporting, so that SREDA and its supervising ministry can be held publicly accountable for delivery (SANEM, 2026; CPD, 2026a).</w:t>
      </w:r>
    </w:p>
    <w:p>
      <w:pPr>
        <w:spacing w:line="360" w:lineRule="auto" w:before="0" w:after="120"/>
        <w:jc w:val="left"/>
      </w:pPr>
      <w:r>
        <w:rPr>
          <w:rFonts w:ascii="Times New Roman" w:hAnsi="Times New Roman"/>
          <w:b/>
          <w:i w:val="0"/>
          <w:sz w:val="24"/>
        </w:rPr>
        <w:t>9. Conclusion</w:t>
      </w:r>
    </w:p>
    <w:p>
      <w:pPr>
        <w:spacing w:line="360" w:lineRule="auto" w:before="0" w:after="120"/>
        <w:jc w:val="both"/>
      </w:pPr>
      <w:r>
        <w:rPr>
          <w:rFonts w:ascii="Times New Roman" w:hAnsi="Times New Roman"/>
          <w:b w:val="0"/>
          <w:i w:val="0"/>
          <w:sz w:val="24"/>
        </w:rPr>
        <w:t>Bangladesh's renewable energy targets are no longer constrained primarily by ambition; they are constrained by institutions. This paper has shown that SREDA, the agency formally entrusted with the transition, holds a mandate that is broad in scope but shallow in authority, commands capacity that is inadequate on every dimension that matters, and operates within accountability arrangements that neither empower it nor discipline the actors around it. The Renewable Energy Policy 2025 has raised expectations and clarified direction, but it has simultaneously widened the distance between what SREDA must do and what SREDA can do. Unless the state converts its nodal agency into an autonomous, professionally staffed, adequately financed, and enforcement-capable authority, the 20 percent target for 2030 is likely to join its predecessors as an aspiration recorded in policy documents rather than in the generation mix. The deeper lesson extends beyond one agency: credible energy transitions are built not merely by announcing targets, but by constructing institutions strong enough to deliver them.</w:t>
      </w:r>
    </w:p>
    <w:p>
      <w:pPr>
        <w:spacing w:line="360" w:lineRule="auto" w:before="0" w:after="120"/>
        <w:jc w:val="left"/>
      </w:pPr>
      <w:r>
        <w:rPr>
          <w:rFonts w:ascii="Times New Roman" w:hAnsi="Times New Roman"/>
          <w:b/>
          <w:i w:val="0"/>
          <w:sz w:val="24"/>
        </w:rPr>
        <w:t>References</w:t>
      </w:r>
    </w:p>
    <w:p>
      <w:pPr>
        <w:spacing w:line="360" w:lineRule="auto" w:before="0" w:after="120"/>
        <w:ind w:left="720" w:hanging="720"/>
        <w:jc w:val="left"/>
      </w:pPr>
      <w:r>
        <w:rPr>
          <w:rFonts w:ascii="Times New Roman" w:hAnsi="Times New Roman"/>
          <w:i w:val="0"/>
          <w:sz w:val="24"/>
        </w:rPr>
        <w:t xml:space="preserve">Abdullah-Al-Mahbub, M., &amp; Islam, A. R. M. T. (2023). Current status of running renewable energy in Bangladesh and future prospect: A global comparison. </w:t>
      </w:r>
      <w:r>
        <w:rPr>
          <w:rFonts w:ascii="Times New Roman" w:hAnsi="Times New Roman"/>
          <w:i/>
          <w:sz w:val="24"/>
        </w:rPr>
        <w:t>Heliyon, 9</w:t>
      </w:r>
      <w:r>
        <w:rPr>
          <w:rFonts w:ascii="Times New Roman" w:hAnsi="Times New Roman"/>
          <w:i w:val="0"/>
          <w:sz w:val="24"/>
        </w:rPr>
        <w:t>(3), Article e14308. https://doi.org/10.1016/j.heliyon.2023.e14308</w:t>
      </w:r>
    </w:p>
    <w:p>
      <w:pPr>
        <w:spacing w:line="360" w:lineRule="auto" w:before="0" w:after="120"/>
        <w:ind w:left="720" w:hanging="720"/>
        <w:jc w:val="left"/>
      </w:pPr>
      <w:r>
        <w:rPr>
          <w:rFonts w:ascii="Times New Roman" w:hAnsi="Times New Roman"/>
          <w:i w:val="0"/>
          <w:sz w:val="24"/>
        </w:rPr>
        <w:t xml:space="preserve">Abdulrazak, L. F., Islam, A., &amp; Hossain, M. B. (2021). Towards energy sustainability: Bangladesh perspectives. </w:t>
      </w:r>
      <w:r>
        <w:rPr>
          <w:rFonts w:ascii="Times New Roman" w:hAnsi="Times New Roman"/>
          <w:i/>
          <w:sz w:val="24"/>
        </w:rPr>
        <w:t>Energy Strategy Reviews, 38</w:t>
      </w:r>
      <w:r>
        <w:rPr>
          <w:rFonts w:ascii="Times New Roman" w:hAnsi="Times New Roman"/>
          <w:i w:val="0"/>
          <w:sz w:val="24"/>
        </w:rPr>
        <w:t>, Article 100738. https://doi.org/10.1016/j.esr.2021.100738</w:t>
      </w:r>
    </w:p>
    <w:p>
      <w:pPr>
        <w:spacing w:line="360" w:lineRule="auto" w:before="0" w:after="120"/>
        <w:ind w:left="720" w:hanging="720"/>
        <w:jc w:val="left"/>
      </w:pPr>
      <w:r>
        <w:rPr>
          <w:rFonts w:ascii="Times New Roman" w:hAnsi="Times New Roman"/>
          <w:i w:val="0"/>
          <w:sz w:val="24"/>
        </w:rPr>
        <w:t xml:space="preserve">Alam, S. (2025a). </w:t>
      </w:r>
      <w:r>
        <w:rPr>
          <w:rFonts w:ascii="Times New Roman" w:hAnsi="Times New Roman"/>
          <w:i/>
          <w:sz w:val="24"/>
        </w:rPr>
        <w:t>New year, same goal: Bangladesh needs to clear existing roadblocks to clean energy.</w:t>
      </w:r>
      <w:r>
        <w:rPr>
          <w:rFonts w:ascii="Times New Roman" w:hAnsi="Times New Roman"/>
          <w:i w:val="0"/>
          <w:sz w:val="24"/>
        </w:rPr>
        <w:t xml:space="preserve"> Institute for Energy Economics and Financial Analysis. https://ieefa.org/resources/new-year-same-goal-bangladesh-needs-clear-existing-roadblocks-clean-energy</w:t>
      </w:r>
    </w:p>
    <w:p>
      <w:pPr>
        <w:spacing w:line="360" w:lineRule="auto" w:before="0" w:after="120"/>
        <w:ind w:left="720" w:hanging="720"/>
        <w:jc w:val="left"/>
      </w:pPr>
      <w:r>
        <w:rPr>
          <w:rFonts w:ascii="Times New Roman" w:hAnsi="Times New Roman"/>
          <w:i w:val="0"/>
          <w:sz w:val="24"/>
        </w:rPr>
        <w:t xml:space="preserve">Alam, S. (2025b). </w:t>
      </w:r>
      <w:r>
        <w:rPr>
          <w:rFonts w:ascii="Times New Roman" w:hAnsi="Times New Roman"/>
          <w:i/>
          <w:sz w:val="24"/>
        </w:rPr>
        <w:t>Bangladesh's energy policy changes raise more questions than they answer.</w:t>
      </w:r>
      <w:r>
        <w:rPr>
          <w:rFonts w:ascii="Times New Roman" w:hAnsi="Times New Roman"/>
          <w:i w:val="0"/>
          <w:sz w:val="24"/>
        </w:rPr>
        <w:t xml:space="preserve"> Institute for Energy Economics and Financial Analysis. https://ieefa.org/resources/bangladeshs-energy-policy-changes-raise-more-questions-they-answer</w:t>
      </w:r>
    </w:p>
    <w:p>
      <w:pPr>
        <w:spacing w:line="360" w:lineRule="auto" w:before="0" w:after="120"/>
        <w:ind w:left="720" w:hanging="720"/>
        <w:jc w:val="left"/>
      </w:pPr>
      <w:r>
        <w:rPr>
          <w:rFonts w:ascii="Times New Roman" w:hAnsi="Times New Roman"/>
          <w:i w:val="0"/>
          <w:sz w:val="24"/>
        </w:rPr>
        <w:t xml:space="preserve">Centre for Policy Dialogue. (2026a). </w:t>
      </w:r>
      <w:r>
        <w:rPr>
          <w:rFonts w:ascii="Times New Roman" w:hAnsi="Times New Roman"/>
          <w:i/>
          <w:sz w:val="24"/>
        </w:rPr>
        <w:t>Interim government's Energy and Power Sector Master Plan (EPSMP): 2026–2050</w:t>
      </w:r>
      <w:r>
        <w:rPr>
          <w:rFonts w:ascii="Times New Roman" w:hAnsi="Times New Roman"/>
          <w:i w:val="0"/>
          <w:sz w:val="24"/>
        </w:rPr>
        <w:t xml:space="preserve"> [Presentation]. https://cpd.org.bd/resources/2026/01/Presentation_Interim-Governments-EPSMP.pdf</w:t>
      </w:r>
    </w:p>
    <w:p>
      <w:pPr>
        <w:spacing w:line="360" w:lineRule="auto" w:before="0" w:after="120"/>
        <w:ind w:left="720" w:hanging="720"/>
        <w:jc w:val="left"/>
      </w:pPr>
      <w:r>
        <w:rPr>
          <w:rFonts w:ascii="Times New Roman" w:hAnsi="Times New Roman"/>
          <w:i w:val="0"/>
          <w:sz w:val="24"/>
        </w:rPr>
        <w:t xml:space="preserve">Centre for Policy Dialogue. (2026b). </w:t>
      </w:r>
      <w:r>
        <w:rPr>
          <w:rFonts w:ascii="Times New Roman" w:hAnsi="Times New Roman"/>
          <w:i/>
          <w:sz w:val="24"/>
        </w:rPr>
        <w:t>Renewable energy in the national budget 2026–27</w:t>
      </w:r>
      <w:r>
        <w:rPr>
          <w:rFonts w:ascii="Times New Roman" w:hAnsi="Times New Roman"/>
          <w:i w:val="0"/>
          <w:sz w:val="24"/>
        </w:rPr>
        <w:t xml:space="preserve"> [Presentation]. https://cpd.org.bd/resources/2026/05/PPT_Renewable-Energy-in-the-National-Budget-2026-27.pdf</w:t>
      </w:r>
    </w:p>
    <w:p>
      <w:pPr>
        <w:spacing w:line="360" w:lineRule="auto" w:before="0" w:after="120"/>
        <w:ind w:left="720" w:hanging="720"/>
        <w:jc w:val="left"/>
      </w:pPr>
      <w:r>
        <w:rPr>
          <w:rFonts w:ascii="Times New Roman" w:hAnsi="Times New Roman"/>
          <w:i w:val="0"/>
          <w:sz w:val="24"/>
        </w:rPr>
        <w:t xml:space="preserve">Climate Analytics. (2025). </w:t>
      </w:r>
      <w:r>
        <w:rPr>
          <w:rFonts w:ascii="Times New Roman" w:hAnsi="Times New Roman"/>
          <w:i/>
          <w:sz w:val="24"/>
        </w:rPr>
        <w:t>1.5°C national pathway explorer: Bangladesh — Power sector.</w:t>
      </w:r>
      <w:r>
        <w:rPr>
          <w:rFonts w:ascii="Times New Roman" w:hAnsi="Times New Roman"/>
          <w:i w:val="0"/>
          <w:sz w:val="24"/>
        </w:rPr>
        <w:t xml:space="preserve"> https://1p5ndc-pathways.climateanalytics.org/countries/bangladesh/sectors/power</w:t>
      </w:r>
    </w:p>
    <w:p>
      <w:pPr>
        <w:spacing w:line="360" w:lineRule="auto" w:before="0" w:after="120"/>
        <w:ind w:left="720" w:hanging="720"/>
        <w:jc w:val="left"/>
      </w:pPr>
      <w:r>
        <w:rPr>
          <w:rFonts w:ascii="Times New Roman" w:hAnsi="Times New Roman"/>
          <w:i w:val="0"/>
          <w:sz w:val="24"/>
        </w:rPr>
        <w:t xml:space="preserve">Das, N. K., Chakrabartty, J., Dey, M., Gupta, A. K. S., &amp; Matin, M. A. (2020). Present energy scenario and future energy mix of Bangladesh. </w:t>
      </w:r>
      <w:r>
        <w:rPr>
          <w:rFonts w:ascii="Times New Roman" w:hAnsi="Times New Roman"/>
          <w:i/>
          <w:sz w:val="24"/>
        </w:rPr>
        <w:t>Energy Strategy Reviews, 32</w:t>
      </w:r>
      <w:r>
        <w:rPr>
          <w:rFonts w:ascii="Times New Roman" w:hAnsi="Times New Roman"/>
          <w:i w:val="0"/>
          <w:sz w:val="24"/>
        </w:rPr>
        <w:t>, Article 100576. https://doi.org/10.1016/j.esr.2020.100576</w:t>
      </w:r>
    </w:p>
    <w:p>
      <w:pPr>
        <w:spacing w:line="360" w:lineRule="auto" w:before="0" w:after="120"/>
        <w:ind w:left="720" w:hanging="720"/>
        <w:jc w:val="left"/>
      </w:pPr>
      <w:r>
        <w:rPr>
          <w:rFonts w:ascii="Times New Roman" w:hAnsi="Times New Roman"/>
          <w:i w:val="0"/>
          <w:sz w:val="24"/>
        </w:rPr>
        <w:t xml:space="preserve">Government of Bangladesh. (2022). </w:t>
      </w:r>
      <w:r>
        <w:rPr>
          <w:rFonts w:ascii="Times New Roman" w:hAnsi="Times New Roman"/>
          <w:i/>
          <w:sz w:val="24"/>
        </w:rPr>
        <w:t>Mujib Climate Prosperity Plan 2022–2041.</w:t>
      </w:r>
      <w:r>
        <w:rPr>
          <w:rFonts w:ascii="Times New Roman" w:hAnsi="Times New Roman"/>
          <w:i w:val="0"/>
          <w:sz w:val="24"/>
        </w:rPr>
        <w:t xml:space="preserve"> Government of the People's Republic of Bangladesh. https://cvfv20.org/wp-content/uploads/2025/09/Mujib-Climate-Prosperity-Plan-2022-2041.pdf</w:t>
      </w:r>
    </w:p>
    <w:p>
      <w:pPr>
        <w:spacing w:line="360" w:lineRule="auto" w:before="0" w:after="120"/>
        <w:ind w:left="720" w:hanging="720"/>
        <w:jc w:val="left"/>
      </w:pPr>
      <w:r>
        <w:rPr>
          <w:rFonts w:ascii="Times New Roman" w:hAnsi="Times New Roman"/>
          <w:i w:val="0"/>
          <w:sz w:val="24"/>
        </w:rPr>
        <w:t xml:space="preserve">Hasan, M. Y., Monir, M. U., Ahmed, M. T., Abd Aziz, A., Shovon, S. M., Ahamed Akash, F., Khan, M. F. H., Islam, M. A., Chowdhury, S., &amp; Techato, K. (2022). Sustainable energy sources in Bangladesh: A review on present and future prospect. </w:t>
      </w:r>
      <w:r>
        <w:rPr>
          <w:rFonts w:ascii="Times New Roman" w:hAnsi="Times New Roman"/>
          <w:i/>
          <w:sz w:val="24"/>
        </w:rPr>
        <w:t>Renewable and Sustainable Energy Reviews, 155</w:t>
      </w:r>
      <w:r>
        <w:rPr>
          <w:rFonts w:ascii="Times New Roman" w:hAnsi="Times New Roman"/>
          <w:i w:val="0"/>
          <w:sz w:val="24"/>
        </w:rPr>
        <w:t>, Article 111870. https://doi.org/10.1016/j.rser.2021.111870</w:t>
      </w:r>
    </w:p>
    <w:p>
      <w:pPr>
        <w:spacing w:line="360" w:lineRule="auto" w:before="0" w:after="120"/>
        <w:ind w:left="720" w:hanging="720"/>
        <w:jc w:val="left"/>
      </w:pPr>
      <w:r>
        <w:rPr>
          <w:rFonts w:ascii="Times New Roman" w:hAnsi="Times New Roman"/>
          <w:i w:val="0"/>
          <w:sz w:val="24"/>
        </w:rPr>
        <w:t xml:space="preserve">Hossain, S. M., Biswas, S., &amp; Uddin, M. R. (2024). Sustainable energy transition in Bangladesh: Challenges and pathways for the future. </w:t>
      </w:r>
      <w:r>
        <w:rPr>
          <w:rFonts w:ascii="Times New Roman" w:hAnsi="Times New Roman"/>
          <w:i/>
          <w:sz w:val="24"/>
        </w:rPr>
        <w:t>Engineering Reports, 6</w:t>
      </w:r>
      <w:r>
        <w:rPr>
          <w:rFonts w:ascii="Times New Roman" w:hAnsi="Times New Roman"/>
          <w:i w:val="0"/>
          <w:sz w:val="24"/>
        </w:rPr>
        <w:t>(1), Article e12752. https://doi.org/10.1002/eng2.12752</w:t>
      </w:r>
    </w:p>
    <w:p>
      <w:pPr>
        <w:spacing w:line="360" w:lineRule="auto" w:before="0" w:after="120"/>
        <w:ind w:left="720" w:hanging="720"/>
        <w:jc w:val="left"/>
      </w:pPr>
      <w:r>
        <w:rPr>
          <w:rFonts w:ascii="Times New Roman" w:hAnsi="Times New Roman"/>
          <w:i w:val="0"/>
          <w:sz w:val="24"/>
        </w:rPr>
        <w:t xml:space="preserve">Islam, A., Al-Tabatabaie, K. F., Karmaker, A. K., Hossain, M. B., &amp; Islam, K. (2022). Assessing energy diversification policy and sustainability: Bangladesh standpoints. </w:t>
      </w:r>
      <w:r>
        <w:rPr>
          <w:rFonts w:ascii="Times New Roman" w:hAnsi="Times New Roman"/>
          <w:i/>
          <w:sz w:val="24"/>
        </w:rPr>
        <w:t>Energy Strategy Reviews, 40</w:t>
      </w:r>
      <w:r>
        <w:rPr>
          <w:rFonts w:ascii="Times New Roman" w:hAnsi="Times New Roman"/>
          <w:i w:val="0"/>
          <w:sz w:val="24"/>
        </w:rPr>
        <w:t>, Article 100803. https://doi.org/10.1016/j.esr.2022.100803</w:t>
      </w:r>
    </w:p>
    <w:p>
      <w:pPr>
        <w:spacing w:line="360" w:lineRule="auto" w:before="0" w:after="120"/>
        <w:ind w:left="720" w:hanging="720"/>
        <w:jc w:val="left"/>
      </w:pPr>
      <w:r>
        <w:rPr>
          <w:rFonts w:ascii="Times New Roman" w:hAnsi="Times New Roman"/>
          <w:i w:val="0"/>
          <w:sz w:val="24"/>
        </w:rPr>
        <w:t xml:space="preserve">Ministry of Environment, Forest and Climate Change. (2021). </w:t>
      </w:r>
      <w:r>
        <w:rPr>
          <w:rFonts w:ascii="Times New Roman" w:hAnsi="Times New Roman"/>
          <w:i/>
          <w:sz w:val="24"/>
        </w:rPr>
        <w:t>Nationally determined contributions (NDCs) 2021: Bangladesh (updated).</w:t>
      </w:r>
      <w:r>
        <w:rPr>
          <w:rFonts w:ascii="Times New Roman" w:hAnsi="Times New Roman"/>
          <w:i w:val="0"/>
          <w:sz w:val="24"/>
        </w:rPr>
        <w:t xml:space="preserve"> Government of the People's Republic of Bangladesh. https://unfccc.int/sites/default/files/NDC/2022-06/NDC_submission_20210826revised.pdf</w:t>
      </w:r>
    </w:p>
    <w:p>
      <w:pPr>
        <w:spacing w:line="360" w:lineRule="auto" w:before="0" w:after="120"/>
        <w:ind w:left="720" w:hanging="720"/>
        <w:jc w:val="left"/>
      </w:pPr>
      <w:r>
        <w:rPr>
          <w:rFonts w:ascii="Times New Roman" w:hAnsi="Times New Roman"/>
          <w:i w:val="0"/>
          <w:sz w:val="24"/>
        </w:rPr>
        <w:t xml:space="preserve">Ministry of Power, Energy and Mineral Resources. (2023). </w:t>
      </w:r>
      <w:r>
        <w:rPr>
          <w:rFonts w:ascii="Times New Roman" w:hAnsi="Times New Roman"/>
          <w:i/>
          <w:sz w:val="24"/>
        </w:rPr>
        <w:t>Integrated Energy and Power Master Plan (IEPMP 2023).</w:t>
      </w:r>
      <w:r>
        <w:rPr>
          <w:rFonts w:ascii="Times New Roman" w:hAnsi="Times New Roman"/>
          <w:i w:val="0"/>
          <w:sz w:val="24"/>
        </w:rPr>
        <w:t xml:space="preserve"> Government of the People's Republic of Bangladesh.</w:t>
      </w:r>
    </w:p>
    <w:p>
      <w:pPr>
        <w:spacing w:line="360" w:lineRule="auto" w:before="0" w:after="120"/>
        <w:ind w:left="720" w:hanging="720"/>
        <w:jc w:val="left"/>
      </w:pPr>
      <w:r>
        <w:rPr>
          <w:rFonts w:ascii="Times New Roman" w:hAnsi="Times New Roman"/>
          <w:i w:val="0"/>
          <w:sz w:val="24"/>
        </w:rPr>
        <w:t xml:space="preserve">Power Division. (2025). </w:t>
      </w:r>
      <w:r>
        <w:rPr>
          <w:rFonts w:ascii="Times New Roman" w:hAnsi="Times New Roman"/>
          <w:i/>
          <w:sz w:val="24"/>
        </w:rPr>
        <w:t>Renewable Energy Policy 2025.</w:t>
      </w:r>
      <w:r>
        <w:rPr>
          <w:rFonts w:ascii="Times New Roman" w:hAnsi="Times New Roman"/>
          <w:i w:val="0"/>
          <w:sz w:val="24"/>
        </w:rPr>
        <w:t xml:space="preserve"> Ministry of Power, Energy and Mineral Resources, Government of the People's Republic of Bangladesh.</w:t>
      </w:r>
    </w:p>
    <w:p>
      <w:pPr>
        <w:spacing w:line="360" w:lineRule="auto" w:before="0" w:after="120"/>
        <w:ind w:left="720" w:hanging="720"/>
        <w:jc w:val="left"/>
      </w:pPr>
      <w:r>
        <w:rPr>
          <w:rFonts w:ascii="Times New Roman" w:hAnsi="Times New Roman"/>
          <w:i w:val="0"/>
          <w:sz w:val="24"/>
        </w:rPr>
        <w:t xml:space="preserve">South Asian Network on Economic Modeling. (2025). </w:t>
      </w:r>
      <w:r>
        <w:rPr>
          <w:rFonts w:ascii="Times New Roman" w:hAnsi="Times New Roman"/>
          <w:i/>
          <w:sz w:val="24"/>
        </w:rPr>
        <w:t>Bangladesh's energy transition: A political economy perspective</w:t>
      </w:r>
      <w:r>
        <w:rPr>
          <w:rFonts w:ascii="Times New Roman" w:hAnsi="Times New Roman"/>
          <w:i w:val="0"/>
          <w:sz w:val="24"/>
        </w:rPr>
        <w:t xml:space="preserve"> [Final report]. https://sanemnet.org/wp-content/uploads/2025/11/Final_Report_Political_Economy_SANEM-1.pdf</w:t>
      </w:r>
    </w:p>
    <w:p>
      <w:pPr>
        <w:spacing w:line="360" w:lineRule="auto" w:before="0" w:after="120"/>
        <w:ind w:left="720" w:hanging="720"/>
        <w:jc w:val="left"/>
      </w:pPr>
      <w:r>
        <w:rPr>
          <w:rFonts w:ascii="Times New Roman" w:hAnsi="Times New Roman"/>
          <w:i w:val="0"/>
          <w:sz w:val="24"/>
        </w:rPr>
        <w:t xml:space="preserve">South Asian Network on Economic Modeling. (2026). </w:t>
      </w:r>
      <w:r>
        <w:rPr>
          <w:rFonts w:ascii="Times New Roman" w:hAnsi="Times New Roman"/>
          <w:i/>
          <w:sz w:val="24"/>
        </w:rPr>
        <w:t>Bangladesh's energy transition: A political economy perspective</w:t>
      </w:r>
      <w:r>
        <w:rPr>
          <w:rFonts w:ascii="Times New Roman" w:hAnsi="Times New Roman"/>
          <w:i w:val="0"/>
          <w:sz w:val="24"/>
        </w:rPr>
        <w:t xml:space="preserve"> [Policy brief]. https://sanemnet.org/wp-content/uploads/2026/01/Bangladeshs-Energy-Transition-A-Political-Economy-Perspective.pdf</w:t>
      </w:r>
    </w:p>
    <w:p>
      <w:pPr>
        <w:spacing w:line="360" w:lineRule="auto" w:before="0" w:after="120"/>
        <w:ind w:left="720" w:hanging="720"/>
        <w:jc w:val="left"/>
      </w:pPr>
      <w:r>
        <w:rPr>
          <w:rFonts w:ascii="Times New Roman" w:hAnsi="Times New Roman"/>
          <w:i w:val="0"/>
          <w:sz w:val="24"/>
        </w:rPr>
        <w:t>Sustainable and Renewable Energy Development Authority Act, 2012, Act No. 48 of 2012 (Bangladesh). https://lpr.adb.org/resource/sustainable-and-renewable-energy-development-authority-act-2012-bangladesh</w:t>
      </w:r>
    </w:p>
    <w:p>
      <w:pPr>
        <w:spacing w:line="360" w:lineRule="auto" w:before="0" w:after="120"/>
        <w:ind w:left="720" w:hanging="720"/>
        <w:jc w:val="left"/>
      </w:pPr>
      <w:r>
        <w:rPr>
          <w:rFonts w:ascii="Times New Roman" w:hAnsi="Times New Roman"/>
          <w:i w:val="0"/>
          <w:sz w:val="24"/>
        </w:rPr>
        <w:t xml:space="preserve">The Daily Star. (2025). </w:t>
      </w:r>
      <w:r>
        <w:rPr>
          <w:rFonts w:ascii="Times New Roman" w:hAnsi="Times New Roman"/>
          <w:i/>
          <w:sz w:val="24"/>
        </w:rPr>
        <w:t>Govt unveils new renewable energy policy.</w:t>
      </w:r>
      <w:r>
        <w:rPr>
          <w:rFonts w:ascii="Times New Roman" w:hAnsi="Times New Roman"/>
          <w:i w:val="0"/>
          <w:sz w:val="24"/>
        </w:rPr>
        <w:t xml:space="preserve"> https://www.thedailystar.net/business/news/govt-unveils-new-renewable-energy-policy-3921096</w:t>
      </w:r>
    </w:p>
    <w:p>
      <w:pPr>
        <w:spacing w:line="360" w:lineRule="auto" w:before="0" w:after="120"/>
        <w:ind w:left="720" w:hanging="720"/>
        <w:jc w:val="left"/>
      </w:pPr>
      <w:r>
        <w:rPr>
          <w:rFonts w:ascii="Times New Roman" w:hAnsi="Times New Roman"/>
          <w:i w:val="0"/>
          <w:sz w:val="24"/>
        </w:rPr>
        <w:t xml:space="preserve">Transparency International Bangladesh. (2025). </w:t>
      </w:r>
      <w:r>
        <w:rPr>
          <w:rFonts w:ascii="Times New Roman" w:hAnsi="Times New Roman"/>
          <w:i/>
          <w:sz w:val="24"/>
        </w:rPr>
        <w:t>Generating power from renewable energy in Bangladesh: Governance challenges and way forward.</w:t>
      </w:r>
      <w:r>
        <w:rPr>
          <w:rFonts w:ascii="Times New Roman" w:hAnsi="Times New Roman"/>
          <w:i w:val="0"/>
          <w:sz w:val="24"/>
        </w:rPr>
        <w:t xml:space="preserve"> https://www.ti-bangladesh.org/images/2025/report/renewable-energy-governance/Full-Report-on-Renewable-Energy-Governance-En.pdf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