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rPr>
        <w:t>Modeling Rainfall–Runoff in the Gumai Beel, Ichamoti River Using HEC-HMS</w:t>
      </w:r>
    </w:p>
    <w:p>
      <w:pPr>
        <w:jc w:val="center"/>
      </w:pPr>
    </w:p>
    <w:p>
      <w:pPr>
        <w:jc w:val="center"/>
      </w:pPr>
      <w:r>
        <w:t>Chapter 2: Literature Review</w:t>
      </w:r>
    </w:p>
    <w:p>
      <w:pPr>
        <w:jc w:val="center"/>
      </w:pPr>
    </w:p>
    <w:p>
      <w:pPr>
        <w:jc w:val="center"/>
      </w:pPr>
      <w:r>
        <w:t>[Student Name]</w:t>
      </w:r>
    </w:p>
    <w:p>
      <w:pPr>
        <w:jc w:val="center"/>
      </w:pPr>
      <w:r>
        <w:t>Department of [Department Name], [University Name]</w:t>
      </w:r>
    </w:p>
    <w:p>
      <w:pPr>
        <w:jc w:val="center"/>
      </w:pPr>
      <w:r>
        <w:t>MS Thesis</w:t>
      </w:r>
    </w:p>
    <w:p>
      <w:pPr>
        <w:jc w:val="center"/>
      </w:pPr>
      <w:r>
        <w:t>[Supervisor Name], Supervisor</w:t>
      </w:r>
    </w:p>
    <w:p>
      <w:pPr>
        <w:jc w:val="center"/>
      </w:pPr>
      <w:r>
        <w:t>[Month, Year]</w:t>
      </w:r>
    </w:p>
    <w:p>
      <w:r>
        <w:br w:type="page"/>
      </w:r>
    </w:p>
    <w:p>
      <w:pPr>
        <w:jc w:val="center"/>
      </w:pPr>
      <w:r>
        <w:rPr>
          <w:b/>
        </w:rPr>
        <w:t>Chapter 2: Literature Review</w:t>
      </w:r>
    </w:p>
    <w:p>
      <w:r>
        <w:rPr>
          <w:b/>
        </w:rPr>
        <w:t>2.1 Introduction</w:t>
      </w:r>
    </w:p>
    <w:p>
      <w:pPr>
        <w:ind w:firstLine="720"/>
        <w:jc w:val="left"/>
      </w:pPr>
      <w:r>
        <w:t>This chapter reviews the recent body of scientific literature—published from 2019 onward—that underpins the present study, which develops a rainfall–runoff model of the Gumai Beel catchment within the Ichamoti River system of Pabna District, Bangladesh, using the Hydrologic Engineering Center’s Hydrologic Modeling System (HEC-HMS). Restricting the review to the most recent literature serves two purposes: it ensures that the methodological choices of this thesis reflect the current state of practice rather than superseded conventions, and it captures the newest generation of data products, evaluation standards, and regional studies that older reviews necessarily omit. The review is organized to move from the general to the particular. It begins with the conceptual foundations of rainfall–runoff modeling and the contemporary debate on model selection, and then examines the structure of the HEC-HMS framework and the scientific basis of its principal computational methods. Subsequent sections review the role of geographic information systems (GIS) and remote sensing in supplying model inputs, survey recent applications of HEC-HMS across diverse hydro-climatic regions, and narrow the focus to hydrological modeling experience in Bangladesh. Because the study area is not an ordinary upland catchment but a low-lying floodplain wetland (beel) drained by a moribund distributary of the Padma River, a dedicated section reviews the hydrology of beel and floodplain-wetland systems, the anthropogenic decline of the Ichamoti River, and the chronic drainage congestion of the Pabna region. The chapter then reviews current standards for model calibration, validation, and performance evaluation, and closes with a synthesis that identifies the research gap this thesis addresses.</w:t>
      </w:r>
    </w:p>
    <w:p>
      <w:pPr>
        <w:ind w:firstLine="720"/>
        <w:jc w:val="left"/>
      </w:pPr>
      <w:r>
        <w:t>Throughout the chapter, emphasis is placed on three questions that guide the design of the present study: (a) which combinations of loss, transform, baseflow, and routing methods within HEC-HMS have proven reliable in monsoon-dominated and data-scarce catchments; (b) what data sources and pre-processing strategies are appropriate where gauge networks are sparse and the terrain is extremely flat; and (c) what performance criteria constitute an acceptable model in the context of an applied water-management problem such as the drainage rehabilitation of the Gumai Beel–Ichamoti system.</w:t>
      </w:r>
    </w:p>
    <w:p>
      <w:r>
        <w:rPr>
          <w:b/>
        </w:rPr>
        <w:t>2.2 Rainfall–Runoff Processes and the Selection of Hydrological Models</w:t>
      </w:r>
    </w:p>
    <w:p>
      <w:pPr>
        <w:ind w:firstLine="720"/>
        <w:jc w:val="left"/>
      </w:pPr>
      <w:r>
        <w:t>The transformation of rainfall into streamflow remains the central problem of applied hydrology. Precipitation falling on a catchment is partitioned among interception, depression storage, infiltration, evapotranspiration, soil-moisture replenishment, and surface runoff, and the runoff component is subsequently translated and attenuated as it travels over hillslopes and through channel networks to the catchment outlet. Because direct measurement of each of these processes at the catchment scale is impossible, hydrologists rely on mathematical models that represent the catchment as a system converting an input hyetograph into an output hydrograph. The contemporary modeling landscape is characterized by an overwhelming diversity of such models. Horton et al. (2022), in a systematic review of the drivers of model diversification, showed that the coexistence of empirical, conceptual, and physically based models—and of lumped, semi-distributed, and fully distributed spatial structures—reflects not only genuine differences in application context but also institutional habit, and they observed that the motivations for selecting a particular model are rarely stated explicitly in published studies. Their central recommendation, that model choice be justified by the adequacy of the model for the landscape, the data, and the purpose at hand, frames the model-selection reasoning of this thesis.</w:t>
      </w:r>
    </w:p>
    <w:p>
      <w:pPr>
        <w:ind w:firstLine="720"/>
        <w:jc w:val="left"/>
      </w:pPr>
      <w:r>
        <w:t>For data-scarce developing-country catchments, the practical comparison is usually between conceptual semi-distributed systems such as HEC-HMS and more heavily parameterized ecohydrological models such as the Soil and Water Assessment Tool (SWAT). Recent head-to-head evaluations illuminate the trade-off. Aliye et al. (2020), comparing the two models for a data-scarce catchment of the Ethiopian Rift Valley Lakes basin, found both capable of credible streamflow simulation. Moniruzzaman and Mahalder (2026), performing the same comparison for the Atrai–Karatoa basin of northern Bangladesh, found that SWAT better reproduced high flows while HEC-HMS was more accurate for medium flows, with both models performing satisfactorily overall. These results indicate that HEC-HMS remains a defensible choice where the modeling objective centers on runoff-hydrograph generation rather than on sediment, nutrient, or land-management simulation, and where its far smaller parameter set suits the available data.</w:t>
      </w:r>
    </w:p>
    <w:p>
      <w:pPr>
        <w:ind w:firstLine="720"/>
        <w:jc w:val="left"/>
      </w:pPr>
      <w:r>
        <w:t>A further operational distinction separates event-based from continuous simulation. Event-based modeling simulates the catchment response to individual storms and is appropriate for design-flood estimation and flood forecasting; recent applications include the daily event-oriented modeling of the Al-Adhaim catchment in Iraq (Hamdan et al., 2021) and the flood-risk simulations of the Gumara River in Ethiopia (Admas et al., 2025). Continuous modeling, by contrast, tracks moisture accounting through wet and dry periods over months or years using algorithms such as the soil moisture accounting (SMA) loss method, as in the multi-year simulation of the Brahmaputra basin by Jawad (2024) and the climate-scenario modeling of the same basin by S. Haque et al. (2020). The inundation behavior of the Gumai Beel is governed both by individual monsoon storm events and by the strongly seasonal water balance, so the present study requires a modeling system capable of both modes, a requirement that HEC-HMS satisfies within a single framework (U.S. Army Corps of Engineers [USACE], n.d.).</w:t>
      </w:r>
    </w:p>
    <w:p>
      <w:r>
        <w:rPr>
          <w:b/>
        </w:rPr>
        <w:t>2.3 The HEC-HMS Modeling Framework</w:t>
      </w:r>
    </w:p>
    <w:p>
      <w:r>
        <w:rPr>
          <w:b/>
          <w:i/>
        </w:rPr>
        <w:t>2.3.1 Origin and Structure</w:t>
      </w:r>
    </w:p>
    <w:p>
      <w:pPr>
        <w:ind w:firstLine="720"/>
        <w:jc w:val="left"/>
      </w:pPr>
      <w:r>
        <w:t>HEC-HMS was developed by the Hydrologic Engineering Center of the U.S. Army Corps of Engineers to simulate the complete precipitation–runoff process of dendritic watershed systems (USACE, n.d.). A HEC-HMS project comprises three principal components: a basin model, which describes the physical catchment as a network of sub-basins, reaches, junctions, reservoirs, diversions, sources, and sinks; a meteorological model, which assigns precipitation and evapotranspiration boundary conditions to the sub-basins; and control specifications, which define the simulation window and time step (USACE, n.d.). Within each sub-basin, the user selects one method from each of several interchangeable libraries—canopy and surface storage, loss (infiltration), direct-runoff transform, and baseflow—while each reach is assigned a channel-routing method. This modular architecture is the principal reason for the model’s versatility: the same software can be configured as a simple event-based lumped model or as a continuous, semi-distributed model. The program is in the public domain, is supported by extensive online documentation, and integrates with GIS-based terrain preprocessing, all of which explain its wide adoption in regions where commercial modeling systems are unaffordable (Hamdan et al., 2021; Tassew et al., 2019).</w:t>
      </w:r>
    </w:p>
    <w:p>
      <w:r>
        <w:rPr>
          <w:b/>
          <w:i/>
        </w:rPr>
        <w:t>2.3.2 Loss Methods and the SCS Curve Number</w:t>
      </w:r>
    </w:p>
    <w:p>
      <w:pPr>
        <w:ind w:firstLine="720"/>
        <w:jc w:val="left"/>
      </w:pPr>
      <w:r>
        <w:t>The loss model determines how much of the incident rainfall infiltrates or is otherwise abstracted, and therefore how much becomes precipitation excess available for direct runoff. The most widely used loss method in recent HEC-HMS applications remains the Soil Conservation Service Curve Number (SCS-CN) method, which condenses the combined influence of soil hydrologic group, land use, surface condition, and antecedent moisture into a single dimensionless parameter, the curve number (CN). Soulis (2021), reviewing the current state of the method more than six decades after its introduction, attributed its enduring dominance to its simplicity, its well-documented and easily obtained inputs, and its direct linkage to mappable catchment properties, while cataloguing the challenges that remain active research topics: the appropriate value of the initial abstraction ratio, the treatment of watershed slope, the representation of antecedent moisture, and the transfer of tabulated CN values to regions and land covers beyond those for which the method was derived. Notably, several studies reviewed by Soulis (2021) found that the conventional initial abstraction ratio of 0.2 substantially overestimates initial losses, with locally calibrated values often below 0.05, a finding directly relevant to CN calibration bounds in the present study.</w:t>
      </w:r>
    </w:p>
    <w:p>
      <w:pPr>
        <w:ind w:firstLine="720"/>
        <w:jc w:val="left"/>
      </w:pPr>
      <w:r>
        <w:t>HEC-HMS offers several alternatives to the SCS-CN approach, including the initial-and-constant and deficit-and-constant loss methods, the Green–Ampt infiltration model, and, for continuous simulation, the five-layer SMA algorithm (USACE, n.d.). Recent empirical evidence indicates that the SCS-CN method performs well in monsoonal and semi-arid event simulation: Tassew et al. (2019) obtained very good performance with it in the Gilgel Abay catchment of Ethiopia, and Hamdan et al. (2021) reached the same conclusion for the Al-Adhaim catchment in Iraq. For continuous multi-year simulation, the SMA method is preferred, as in the Brahmaputra applications of Jawad (2024) and S. Haque et al. (2020). Equally consistent is the finding that the curve number is the single most sensitive parameter of the model: Tassew et al. (2019) identified CN as the controlling parameter in formal sensitivity analysis, and M. B. Haque et al. (2024) found the runoff–rainfall relationship of the Halda catchment to be highly sensitive to sub-basin CN values, which depend directly on the land-use classification. These findings justify the comparative testing of loss methods and the careful CN estimation undertaken in the methodology of this thesis.</w:t>
      </w:r>
    </w:p>
    <w:p>
      <w:r>
        <w:rPr>
          <w:b/>
          <w:i/>
        </w:rPr>
        <w:t>2.3.3 Direct-Runoff Transform Methods</w:t>
      </w:r>
    </w:p>
    <w:p>
      <w:pPr>
        <w:ind w:firstLine="720"/>
        <w:jc w:val="left"/>
      </w:pPr>
      <w:r>
        <w:t>The transform model converts precipitation excess into a direct-runoff hydrograph at the sub-basin outlet. Most applications employ unit-hydrograph theory, for which HEC-HMS provides the SCS dimensionless unit hydrograph, parameterized by basin lag time; the Clark unit hydrograph, which combines a time–area histogram with a linear-reservoir storage coefficient; and the Snyder unit hydrograph, among others (USACE, n.d.). The SCS unit hydrograph paired with SCS-CN losses constitutes the dominant configuration in the recent application literature across Africa, the Middle East, and South Asia (Hamdan et al., 2021; Nujhat et al., 2024; Tassew et al., 2019), while the Clark formulation has been preferred in some continuous large-basin applications (Jawad, 2024). For very flat catchments such as the study area, lag-time estimation deserves particular care, because empirical lag equations were developed predominantly for sloping terrain and misestimated lag propagates directly into errors in simulated peak timing; the calibration of time-of-concentration and storage parameters was accordingly a central element of the optimization strategies reported by Jawad (2024) and Admas et al. (2025).</w:t>
      </w:r>
    </w:p>
    <w:p>
      <w:r>
        <w:rPr>
          <w:b/>
          <w:i/>
        </w:rPr>
        <w:t>2.3.4 Baseflow Methods</w:t>
      </w:r>
    </w:p>
    <w:p>
      <w:pPr>
        <w:ind w:firstLine="720"/>
        <w:jc w:val="left"/>
      </w:pPr>
      <w:r>
        <w:t>Baseflow representation is frequently the weakest element of event-oriented models, yet in floodplain-wetland systems the slow drainage component can dominate the recession limb and the dry-season water balance. HEC-HMS provides recession, bounded-recession, linear-reservoir, and constant-monthly baseflow methods (USACE, n.d.); the linear-reservoir method with two groundwater layers was adopted in the continuous Brahmaputra modeling of Jawad (2024). Recent Bangladeshi experience suggests that baseflow is a genuine difficulty: M. B. Haque et al. (2024), modeling the Halda River catchment, obtained satisfactory overall statistics but reported a poor match for the baseflow portion of the hydrograph during calibration, which they attributed to unrepresented groundwater–surface water exchange, and they recommended coupling with a groundwater model as a route to improvement. Such findings caution against interpreting event-calibrated models as complete descriptions of low-flow behavior, a caution of particular force in beel environments where monsoon storage is released gradually through the post-monsoon season.</w:t>
      </w:r>
    </w:p>
    <w:p>
      <w:r>
        <w:rPr>
          <w:b/>
          <w:i/>
        </w:rPr>
        <w:t>2.3.5 Channel Routing and Hydraulic Coupling</w:t>
      </w:r>
    </w:p>
    <w:p>
      <w:pPr>
        <w:ind w:firstLine="720"/>
        <w:jc w:val="left"/>
      </w:pPr>
      <w:r>
        <w:t>Flow routing through reaches is available in HEC-HMS through the Muskingum, Muskingum–Cunge, kinematic-wave, modified-Puls, and lag methods (USACE, n.d.). The Muskingum method, which represents a reach as a linear storage with travel-time parameter K and weighting parameter X, remains the most commonly adopted in applications comparable to the present study (Hamdan et al., 2021; Nujhat et al., 2024; Tassew et al., 2019). Its limitation—shared by all hydrologic routing schemes—is that it cannot represent backwater effects, flow reversal, or looped stage–discharge relations, which are common in extremely flat deltaic channels. Where such hydraulic effects matter, the recent literature couples HEC-HMS with the HEC-RAS hydraulic model: Admas et al. (2025) drove HEC-RAS flood-risk simulations of the Gumara River floodplain in Ethiopia with HEC-HMS hydrographs to quantify inundation for return periods up to 100 years, and Jawad (2024) coupled the two models to map flood inundation along the lowermost 500 km of the Brahmaputra. An analogous coupling represents a natural extension of the present work, given that drainage of the Gumai Beel is partly controlled by water levels in the receiving Ichamoti channel rather than by catchment runoff alone.</w:t>
      </w:r>
    </w:p>
    <w:p>
      <w:r>
        <w:rPr>
          <w:b/>
        </w:rPr>
        <w:t>2.4 GIS, Remote Sensing, and Input Data for Hydrological Modeling</w:t>
      </w:r>
    </w:p>
    <w:p>
      <w:r>
        <w:rPr>
          <w:b/>
          <w:i/>
        </w:rPr>
        <w:t>2.4.1 Digital Elevation Models and Watershed Delineation</w:t>
      </w:r>
    </w:p>
    <w:p>
      <w:pPr>
        <w:ind w:firstLine="720"/>
        <w:jc w:val="left"/>
      </w:pPr>
      <w:r>
        <w:t>Semi-distributed modeling begins with terrain analysis: delineation of sub-basins and stream networks from a digital elevation model (DEM), and extraction of physiographic parameters such as area, slope, and longest flow path. A growing family of freely available global DEMs—SRTM, NASADEM, ASTER, AW3D30, MERIT, and TanDEM-X—now competes for this role, and their quality differences are material. Uuemaa et al. (2020), in a systematic multi-region accuracy assessment against LiDAR references, found vertical accuracy to vary strongly among products and identified terrain slope as the dominant control on DEM error, with AW3D30 the most robust performer overall and NASADEM only marginally improving on SRTM. The reliability of automated delineation degrades precisely in the terrain type of the present study: low-relief floodplains. Datta et al. (2022), working on the Halda watershed in Bangladesh, showed systematically that delineation outcomes depend materially on the choice of DEM product, its spatial resolution, and the stream-definition area threshold, and that these choices propagate into sub-basin geometry and derived parameters. In flat deltaic terrain, where total relief may be only a few meters and anthropogenic features such as roads and embankments control actual flow paths, DEM vertical error can exceed the topographic signal, and the literature therefore recommends verification of automatically delineated drainage against field knowledge and hydrographic maps (Datta et al., 2022). This consideration is central to the delineation strategy adopted in Chapter 3 of this thesis.</w:t>
      </w:r>
    </w:p>
    <w:p>
      <w:r>
        <w:rPr>
          <w:b/>
          <w:i/>
        </w:rPr>
        <w:t>2.4.2 Land Use, Soils, and Curve Number Generation</w:t>
      </w:r>
    </w:p>
    <w:p>
      <w:pPr>
        <w:ind w:firstLine="720"/>
        <w:jc w:val="left"/>
      </w:pPr>
      <w:r>
        <w:t>Loss-model parameterization in ungauged or sparsely gauged basins rests on thematic mapping. The standard workflow intersects a land-use/land-cover (LULC) classification, commonly derived from Landsat or Sentinel-2 imagery, with a hydrologic soil group map derived from soil surveys or global databases, and assigns composite curve numbers to each sub-basin through standard lookup tables (Hamdan et al., 2021; Soulis, 2021). Applications across climates confirm both the practicality and the sensitivity of this workflow: Tassew et al. (2019) identified the curve number as the single most sensitive parameter of their model, and M. B. Haque et al. (2024) likewise found simulated runoff to be highly sensitive to sub-basin CN values, which depend directly on the LULC classification. Remote sensing also documents the pace of land-cover change in Bangladeshi wetland environments: Bhattacharjee et al. (2021), analyzing three decades of Landsat imagery over a northeastern wetland (haor) system, quantified substantial conversion of wetland and vegetation classes to agriculture and settlement. These findings imply that LULC currency and accuracy assessment deserve explicit attention in the present study, particularly because beel environments exhibit strong seasonal alternation between open water, cropped land, and marsh vegetation that a single-date classification cannot capture.</w:t>
      </w:r>
    </w:p>
    <w:p>
      <w:r>
        <w:rPr>
          <w:b/>
          <w:i/>
        </w:rPr>
        <w:t>2.4.3 Precipitation Inputs: Gauges, Reanalysis, and Satellite Products</w:t>
      </w:r>
    </w:p>
    <w:p>
      <w:pPr>
        <w:ind w:firstLine="720"/>
        <w:jc w:val="left"/>
      </w:pPr>
      <w:r>
        <w:t>Precipitation is the dominant control on simulated runoff, and its estimation is a major source of uncertainty where gauge networks are sparse. Two families of alternatives to gauge interpolation have matured over the past decade: satellite multi-sensor products, foremost the Integrated Multi-satellitE Retrievals for GPM (IMERG), and atmospheric reanalyses, foremost ERA5 (Hersbach et al., 2020). Pradhan et al. (2022), in a global systematic review of IMERG validation studies, concluded that the product reliably captures regional precipitation patterns and improves with every version, while performing better at monthly than at daily and sub-daily scales and retaining known weaknesses for extreme intensities and complex terrain—weaknesses that matter for flood-oriented applications. In hydrological practice, satellite precipitation has proven usable even for operational simulation of very large, sparsely gauged basins: Jawad (2024) forced coupled HEC-HMS–HEC-RAS models of the Brahmaputra with near-real-time IMERG and GSMaP products, gauge-corrected where possible, and obtained credible discharge and inundation simulations at Bahadurabad. For the present study, which can draw on Bangladesh Water Development Board and Bangladesh Meteorological Department gauges in and around Pabna, this literature supports a strategy of gauge-primary forcing with reanalysis or satellite products used for gap filling and consistency checking (Hersbach et al., 2020; Pradhan et al., 2022).</w:t>
      </w:r>
    </w:p>
    <w:p>
      <w:r>
        <w:rPr>
          <w:b/>
        </w:rPr>
        <w:t>2.5 Recent Applications of HEC-HMS Across Diverse Hydro-Climatic Regions</w:t>
      </w:r>
    </w:p>
    <w:p>
      <w:pPr>
        <w:ind w:firstLine="720"/>
        <w:jc w:val="left"/>
      </w:pPr>
      <w:r>
        <w:t>The post-2019 application literature on HEC-HMS is extensive, and a selective review of methodologically instructive studies is presented here; Table 2.1 summarizes their essential characteristics. In Africa, Tassew et al. (2019) calibrated an event-based model of the 1,609 km² Gilgel Abay catchment in the Lake Tana basin of Ethiopia using the SCS-CN, SCS unit hydrograph, and Muskingum methods, achieving a Nash–Sutcliffe efficiency (NSE) of 0.884 and a coefficient of determination of 0.925, with sensitivity analysis identifying the curve number as the controlling parameter. Aliye et al. (2020) compared HEC-HMS and SWAT for a data-scarce catchment of the Ethiopian Rift Valley Lakes basin, finding both models applicable and thereby establishing HEC-HMS as a viable lightweight alternative to more heavily parameterized systems. Admas et al. (2025) extended the Ethiopian experience to integrated flood-risk analysis, coupling HEC-HMS design hydrographs with HEC-RAS hydraulics for the Gumara River floodplain and quantifying the inundation reduction achieved by dyke construction for return periods from 2 to 100 years.</w:t>
      </w:r>
    </w:p>
    <w:p>
      <w:pPr>
        <w:ind w:firstLine="720"/>
        <w:jc w:val="left"/>
      </w:pPr>
      <w:r>
        <w:t>In the Middle East, Hamdan et al. (2021) developed a daily model of the semi-arid Al-Adhaim catchment in Iraq with HEC-GeoHMS preprocessing and the SCS-CN, SCS unit hydrograph, and Muskingum configuration, obtaining coefficients of determination near 0.9 in both calibration and verification and concluding that the model is suitable for reservoir inflow estimation. In South Asia, Jawad (2024) tested the frontier of data-scarce application by forcing a continuous SMA-based HEC-HMS model of the transboundary Brahmaputra basin entirely with near-real-time satellite precipitation, calibrating by automated univariate-gradient search and coupling the results to HEC-RAS for flood inundation mapping. Collectively, three consistent lessons emerge from this international experience. First, the combination of SCS-CN loss, SCS unit hydrograph transform, and Muskingum routing constitutes the de facto default configuration for event-scale application, and it performs satisfactorily across monsoonal and semi-arid regimes (Hamdan et al., 2021; Tassew et al., 2019). Second, the curve number is almost invariably the most sensitive parameter, so its spatial estimation and calibration bounds dominate model quality (M. B. Haque et al., 2024; Tassew et al., 2019). Third, HEC-HMS performance is limited less by its algorithms than by input data quality—precipitation above all—which motivates the careful forcing-data strategy reviewed in Section 2.4.3 (Jawad, 2024; Pradhan et al., 2022).</w:t>
      </w:r>
    </w:p>
    <w:p>
      <w:r>
        <w:rPr>
          <w:b/>
        </w:rPr>
        <w:t>Table 2.1</w:t>
      </w:r>
    </w:p>
    <w:p>
      <w:r>
        <w:rPr>
          <w:i/>
        </w:rPr>
        <w:t>Selected Post-2019 Applications of HEC-HMS and Comparable Models Reviewed in This Chapter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Pr>
                <w:rFonts w:ascii="Times New Roman" w:hAnsi="Times New Roman"/>
                <w:b/>
                <w:sz w:val="20"/>
              </w:rPr>
              <w:t>Study</w:t>
            </w:r>
          </w:p>
        </w:tc>
        <w:tc>
          <w:tcPr>
            <w:tcW w:type="dxa" w:w="2448"/>
          </w:tcPr>
          <w:p>
            <w:pPr>
              <w:spacing w:line="240" w:lineRule="auto"/>
            </w:pPr>
            <w:r>
              <w:rPr>
                <w:rFonts w:ascii="Times New Roman" w:hAnsi="Times New Roman"/>
                <w:b/>
                <w:sz w:val="20"/>
              </w:rPr>
              <w:t>Location / basin</w:t>
            </w:r>
          </w:p>
        </w:tc>
        <w:tc>
          <w:tcPr>
            <w:tcW w:type="dxa" w:w="2448"/>
          </w:tcPr>
          <w:p>
            <w:pPr>
              <w:spacing w:line="240" w:lineRule="auto"/>
            </w:pPr>
            <w:r>
              <w:rPr>
                <w:rFonts w:ascii="Times New Roman" w:hAnsi="Times New Roman"/>
                <w:b/>
                <w:sz w:val="20"/>
              </w:rPr>
              <w:t>Principal methods</w:t>
            </w:r>
          </w:p>
        </w:tc>
        <w:tc>
          <w:tcPr>
            <w:tcW w:type="dxa" w:w="2304"/>
          </w:tcPr>
          <w:p>
            <w:pPr>
              <w:spacing w:line="240" w:lineRule="auto"/>
            </w:pPr>
            <w:r>
              <w:rPr>
                <w:rFonts w:ascii="Times New Roman" w:hAnsi="Times New Roman"/>
                <w:b/>
                <w:sz w:val="20"/>
              </w:rPr>
              <w:t>Reported performance</w:t>
            </w:r>
          </w:p>
        </w:tc>
      </w:tr>
      <w:tr>
        <w:tc>
          <w:tcPr>
            <w:tcW w:type="dxa" w:w="2160"/>
          </w:tcPr>
          <w:p>
            <w:pPr>
              <w:spacing w:line="240" w:lineRule="auto"/>
            </w:pPr>
            <w:r>
              <w:rPr>
                <w:rFonts w:ascii="Times New Roman" w:hAnsi="Times New Roman"/>
                <w:sz w:val="20"/>
              </w:rPr>
              <w:t>Tassew et al. (2019)</w:t>
            </w:r>
          </w:p>
        </w:tc>
        <w:tc>
          <w:tcPr>
            <w:tcW w:type="dxa" w:w="2448"/>
          </w:tcPr>
          <w:p>
            <w:pPr>
              <w:spacing w:line="240" w:lineRule="auto"/>
            </w:pPr>
            <w:r>
              <w:rPr>
                <w:rFonts w:ascii="Times New Roman" w:hAnsi="Times New Roman"/>
                <w:sz w:val="20"/>
              </w:rPr>
              <w:t>Gilgel Abay, Lake Tana basin, Ethiopia (1,609 km²)</w:t>
            </w:r>
          </w:p>
        </w:tc>
        <w:tc>
          <w:tcPr>
            <w:tcW w:type="dxa" w:w="2448"/>
          </w:tcPr>
          <w:p>
            <w:pPr>
              <w:spacing w:line="240" w:lineRule="auto"/>
            </w:pPr>
            <w:r>
              <w:rPr>
                <w:rFonts w:ascii="Times New Roman" w:hAnsi="Times New Roman"/>
                <w:sz w:val="20"/>
              </w:rPr>
              <w:t>SCS-CN; SCS UH; Muskingum</w:t>
            </w:r>
          </w:p>
        </w:tc>
        <w:tc>
          <w:tcPr>
            <w:tcW w:type="dxa" w:w="2304"/>
          </w:tcPr>
          <w:p>
            <w:pPr>
              <w:spacing w:line="240" w:lineRule="auto"/>
            </w:pPr>
            <w:r>
              <w:rPr>
                <w:rFonts w:ascii="Times New Roman" w:hAnsi="Times New Roman"/>
                <w:sz w:val="20"/>
              </w:rPr>
              <w:t>NSE = 0.884; R² = 0.925; CN most sensitive</w:t>
            </w:r>
          </w:p>
        </w:tc>
      </w:tr>
      <w:tr>
        <w:tc>
          <w:tcPr>
            <w:tcW w:type="dxa" w:w="2160"/>
          </w:tcPr>
          <w:p>
            <w:pPr>
              <w:spacing w:line="240" w:lineRule="auto"/>
            </w:pPr>
            <w:r>
              <w:rPr>
                <w:rFonts w:ascii="Times New Roman" w:hAnsi="Times New Roman"/>
                <w:sz w:val="20"/>
              </w:rPr>
              <w:t>Aliye et al. (2020)</w:t>
            </w:r>
          </w:p>
        </w:tc>
        <w:tc>
          <w:tcPr>
            <w:tcW w:type="dxa" w:w="2448"/>
          </w:tcPr>
          <w:p>
            <w:pPr>
              <w:spacing w:line="240" w:lineRule="auto"/>
            </w:pPr>
            <w:r>
              <w:rPr>
                <w:rFonts w:ascii="Times New Roman" w:hAnsi="Times New Roman"/>
                <w:sz w:val="20"/>
              </w:rPr>
              <w:t>Rift Valley Lakes basin, Ethiopia</w:t>
            </w:r>
          </w:p>
        </w:tc>
        <w:tc>
          <w:tcPr>
            <w:tcW w:type="dxa" w:w="2448"/>
          </w:tcPr>
          <w:p>
            <w:pPr>
              <w:spacing w:line="240" w:lineRule="auto"/>
            </w:pPr>
            <w:r>
              <w:rPr>
                <w:rFonts w:ascii="Times New Roman" w:hAnsi="Times New Roman"/>
                <w:sz w:val="20"/>
              </w:rPr>
              <w:t>HEC-HMS vs. SWAT comparison</w:t>
            </w:r>
          </w:p>
        </w:tc>
        <w:tc>
          <w:tcPr>
            <w:tcW w:type="dxa" w:w="2304"/>
          </w:tcPr>
          <w:p>
            <w:pPr>
              <w:spacing w:line="240" w:lineRule="auto"/>
            </w:pPr>
            <w:r>
              <w:rPr>
                <w:rFonts w:ascii="Times New Roman" w:hAnsi="Times New Roman"/>
                <w:sz w:val="20"/>
              </w:rPr>
              <w:t>Both models applicable in data-scarce region</w:t>
            </w:r>
          </w:p>
        </w:tc>
      </w:tr>
      <w:tr>
        <w:tc>
          <w:tcPr>
            <w:tcW w:type="dxa" w:w="2160"/>
          </w:tcPr>
          <w:p>
            <w:pPr>
              <w:spacing w:line="240" w:lineRule="auto"/>
            </w:pPr>
            <w:r>
              <w:rPr>
                <w:rFonts w:ascii="Times New Roman" w:hAnsi="Times New Roman"/>
                <w:sz w:val="20"/>
              </w:rPr>
              <w:t>S. Haque et al. (2020)</w:t>
            </w:r>
          </w:p>
        </w:tc>
        <w:tc>
          <w:tcPr>
            <w:tcW w:type="dxa" w:w="2448"/>
          </w:tcPr>
          <w:p>
            <w:pPr>
              <w:spacing w:line="240" w:lineRule="auto"/>
            </w:pPr>
            <w:r>
              <w:rPr>
                <w:rFonts w:ascii="Times New Roman" w:hAnsi="Times New Roman"/>
                <w:sz w:val="20"/>
              </w:rPr>
              <w:t>Brahmaputra basin (at Bahadurabad), Bangladesh</w:t>
            </w:r>
          </w:p>
        </w:tc>
        <w:tc>
          <w:tcPr>
            <w:tcW w:type="dxa" w:w="2448"/>
          </w:tcPr>
          <w:p>
            <w:pPr>
              <w:spacing w:line="240" w:lineRule="auto"/>
            </w:pPr>
            <w:r>
              <w:rPr>
                <w:rFonts w:ascii="Times New Roman" w:hAnsi="Times New Roman"/>
                <w:sz w:val="20"/>
              </w:rPr>
              <w:t>Continuous simulation; MUSLE sediment; RCP8.5</w:t>
            </w:r>
          </w:p>
        </w:tc>
        <w:tc>
          <w:tcPr>
            <w:tcW w:type="dxa" w:w="2304"/>
          </w:tcPr>
          <w:p>
            <w:pPr>
              <w:spacing w:line="240" w:lineRule="auto"/>
            </w:pPr>
            <w:r>
              <w:rPr>
                <w:rFonts w:ascii="Times New Roman" w:hAnsi="Times New Roman"/>
                <w:sz w:val="20"/>
              </w:rPr>
              <w:t>NSE = 0.65 (cal.), 0.54 (val.); satisfactory</w:t>
            </w:r>
          </w:p>
        </w:tc>
      </w:tr>
      <w:tr>
        <w:tc>
          <w:tcPr>
            <w:tcW w:type="dxa" w:w="2160"/>
          </w:tcPr>
          <w:p>
            <w:pPr>
              <w:spacing w:line="240" w:lineRule="auto"/>
            </w:pPr>
            <w:r>
              <w:rPr>
                <w:rFonts w:ascii="Times New Roman" w:hAnsi="Times New Roman"/>
                <w:sz w:val="20"/>
              </w:rPr>
              <w:t>Raihan et al. (2020)</w:t>
            </w:r>
          </w:p>
        </w:tc>
        <w:tc>
          <w:tcPr>
            <w:tcW w:type="dxa" w:w="2448"/>
          </w:tcPr>
          <w:p>
            <w:pPr>
              <w:spacing w:line="240" w:lineRule="auto"/>
            </w:pPr>
            <w:r>
              <w:rPr>
                <w:rFonts w:ascii="Times New Roman" w:hAnsi="Times New Roman"/>
                <w:sz w:val="20"/>
              </w:rPr>
              <w:t>Upper Halda basin, Bangladesh</w:t>
            </w:r>
          </w:p>
        </w:tc>
        <w:tc>
          <w:tcPr>
            <w:tcW w:type="dxa" w:w="2448"/>
          </w:tcPr>
          <w:p>
            <w:pPr>
              <w:spacing w:line="240" w:lineRule="auto"/>
            </w:pPr>
            <w:r>
              <w:rPr>
                <w:rFonts w:ascii="Times New Roman" w:hAnsi="Times New Roman"/>
                <w:sz w:val="20"/>
              </w:rPr>
              <w:t>SWAT (comparison baseline)</w:t>
            </w:r>
          </w:p>
        </w:tc>
        <w:tc>
          <w:tcPr>
            <w:tcW w:type="dxa" w:w="2304"/>
          </w:tcPr>
          <w:p>
            <w:pPr>
              <w:spacing w:line="240" w:lineRule="auto"/>
            </w:pPr>
            <w:r>
              <w:rPr>
                <w:rFonts w:ascii="Times New Roman" w:hAnsi="Times New Roman"/>
                <w:sz w:val="20"/>
              </w:rPr>
              <w:t>R² = 0.80; NSE = 0.71; CN among most sensitive</w:t>
            </w:r>
          </w:p>
        </w:tc>
      </w:tr>
      <w:tr>
        <w:tc>
          <w:tcPr>
            <w:tcW w:type="dxa" w:w="2160"/>
          </w:tcPr>
          <w:p>
            <w:pPr>
              <w:spacing w:line="240" w:lineRule="auto"/>
            </w:pPr>
            <w:r>
              <w:rPr>
                <w:rFonts w:ascii="Times New Roman" w:hAnsi="Times New Roman"/>
                <w:sz w:val="20"/>
              </w:rPr>
              <w:t>Hamdan et al. (2021)</w:t>
            </w:r>
          </w:p>
        </w:tc>
        <w:tc>
          <w:tcPr>
            <w:tcW w:type="dxa" w:w="2448"/>
          </w:tcPr>
          <w:p>
            <w:pPr>
              <w:spacing w:line="240" w:lineRule="auto"/>
            </w:pPr>
            <w:r>
              <w:rPr>
                <w:rFonts w:ascii="Times New Roman" w:hAnsi="Times New Roman"/>
                <w:sz w:val="20"/>
              </w:rPr>
              <w:t>Al-Adhaim catchment, Iraq</w:t>
            </w:r>
          </w:p>
        </w:tc>
        <w:tc>
          <w:tcPr>
            <w:tcW w:type="dxa" w:w="2448"/>
          </w:tcPr>
          <w:p>
            <w:pPr>
              <w:spacing w:line="240" w:lineRule="auto"/>
            </w:pPr>
            <w:r>
              <w:rPr>
                <w:rFonts w:ascii="Times New Roman" w:hAnsi="Times New Roman"/>
                <w:sz w:val="20"/>
              </w:rPr>
              <w:t>SCS-CN; SCS UH; Muskingum; HEC-GeoHMS</w:t>
            </w:r>
          </w:p>
        </w:tc>
        <w:tc>
          <w:tcPr>
            <w:tcW w:type="dxa" w:w="2304"/>
          </w:tcPr>
          <w:p>
            <w:pPr>
              <w:spacing w:line="240" w:lineRule="auto"/>
            </w:pPr>
            <w:r>
              <w:rPr>
                <w:rFonts w:ascii="Times New Roman" w:hAnsi="Times New Roman"/>
                <w:sz w:val="20"/>
              </w:rPr>
              <w:t>R² ≈ 0.90 (calibration and verification)</w:t>
            </w:r>
          </w:p>
        </w:tc>
      </w:tr>
      <w:tr>
        <w:tc>
          <w:tcPr>
            <w:tcW w:type="dxa" w:w="2160"/>
          </w:tcPr>
          <w:p>
            <w:pPr>
              <w:spacing w:line="240" w:lineRule="auto"/>
            </w:pPr>
            <w:r>
              <w:rPr>
                <w:rFonts w:ascii="Times New Roman" w:hAnsi="Times New Roman"/>
                <w:sz w:val="20"/>
              </w:rPr>
              <w:t>Jawad (2024)</w:t>
            </w:r>
          </w:p>
        </w:tc>
        <w:tc>
          <w:tcPr>
            <w:tcW w:type="dxa" w:w="2448"/>
          </w:tcPr>
          <w:p>
            <w:pPr>
              <w:spacing w:line="240" w:lineRule="auto"/>
            </w:pPr>
            <w:r>
              <w:rPr>
                <w:rFonts w:ascii="Times New Roman" w:hAnsi="Times New Roman"/>
                <w:sz w:val="20"/>
              </w:rPr>
              <w:t>Brahmaputra basin (transboundary)</w:t>
            </w:r>
          </w:p>
        </w:tc>
        <w:tc>
          <w:tcPr>
            <w:tcW w:type="dxa" w:w="2448"/>
          </w:tcPr>
          <w:p>
            <w:pPr>
              <w:spacing w:line="240" w:lineRule="auto"/>
            </w:pPr>
            <w:r>
              <w:rPr>
                <w:rFonts w:ascii="Times New Roman" w:hAnsi="Times New Roman"/>
                <w:sz w:val="20"/>
              </w:rPr>
              <w:t>SMA continuous; Clark UH; linear-reservoir baseflow; IMERG/GSMaP forcing; HEC-RAS coupling</w:t>
            </w:r>
          </w:p>
        </w:tc>
        <w:tc>
          <w:tcPr>
            <w:tcW w:type="dxa" w:w="2304"/>
          </w:tcPr>
          <w:p>
            <w:pPr>
              <w:spacing w:line="240" w:lineRule="auto"/>
            </w:pPr>
            <w:r>
              <w:rPr>
                <w:rFonts w:ascii="Times New Roman" w:hAnsi="Times New Roman"/>
                <w:sz w:val="20"/>
              </w:rPr>
              <w:t>Credible discharge and inundation simulation from satellite forcing</w:t>
            </w:r>
          </w:p>
        </w:tc>
      </w:tr>
      <w:tr>
        <w:tc>
          <w:tcPr>
            <w:tcW w:type="dxa" w:w="2160"/>
          </w:tcPr>
          <w:p>
            <w:pPr>
              <w:spacing w:line="240" w:lineRule="auto"/>
            </w:pPr>
            <w:r>
              <w:rPr>
                <w:rFonts w:ascii="Times New Roman" w:hAnsi="Times New Roman"/>
                <w:sz w:val="20"/>
              </w:rPr>
              <w:t>Nujhat et al. (2024)</w:t>
            </w:r>
          </w:p>
        </w:tc>
        <w:tc>
          <w:tcPr>
            <w:tcW w:type="dxa" w:w="2448"/>
          </w:tcPr>
          <w:p>
            <w:pPr>
              <w:spacing w:line="240" w:lineRule="auto"/>
            </w:pPr>
            <w:r>
              <w:rPr>
                <w:rFonts w:ascii="Times New Roman" w:hAnsi="Times New Roman"/>
                <w:sz w:val="20"/>
              </w:rPr>
              <w:t>Gumti River basin, Bangladesh</w:t>
            </w:r>
          </w:p>
        </w:tc>
        <w:tc>
          <w:tcPr>
            <w:tcW w:type="dxa" w:w="2448"/>
          </w:tcPr>
          <w:p>
            <w:pPr>
              <w:spacing w:line="240" w:lineRule="auto"/>
            </w:pPr>
            <w:r>
              <w:rPr>
                <w:rFonts w:ascii="Times New Roman" w:hAnsi="Times New Roman"/>
                <w:sz w:val="20"/>
              </w:rPr>
              <w:t>SCS-CN; Muskingum; SRTM delineation</w:t>
            </w:r>
          </w:p>
        </w:tc>
        <w:tc>
          <w:tcPr>
            <w:tcW w:type="dxa" w:w="2304"/>
          </w:tcPr>
          <w:p>
            <w:pPr>
              <w:spacing w:line="240" w:lineRule="auto"/>
            </w:pPr>
            <w:r>
              <w:rPr>
                <w:rFonts w:ascii="Times New Roman" w:hAnsi="Times New Roman"/>
                <w:sz w:val="20"/>
              </w:rPr>
              <w:t>R² = 0.64 (cal.), 0.68 (val.); PBIAS very good</w:t>
            </w:r>
          </w:p>
        </w:tc>
      </w:tr>
      <w:tr>
        <w:tc>
          <w:tcPr>
            <w:tcW w:type="dxa" w:w="2160"/>
          </w:tcPr>
          <w:p>
            <w:pPr>
              <w:spacing w:line="240" w:lineRule="auto"/>
            </w:pPr>
            <w:r>
              <w:rPr>
                <w:rFonts w:ascii="Times New Roman" w:hAnsi="Times New Roman"/>
                <w:sz w:val="20"/>
              </w:rPr>
              <w:t>M. B. Haque et al. (2024)</w:t>
            </w:r>
          </w:p>
        </w:tc>
        <w:tc>
          <w:tcPr>
            <w:tcW w:type="dxa" w:w="2448"/>
          </w:tcPr>
          <w:p>
            <w:pPr>
              <w:spacing w:line="240" w:lineRule="auto"/>
            </w:pPr>
            <w:r>
              <w:rPr>
                <w:rFonts w:ascii="Times New Roman" w:hAnsi="Times New Roman"/>
                <w:sz w:val="20"/>
              </w:rPr>
              <w:t>Halda River catchment, Bangladesh</w:t>
            </w:r>
          </w:p>
        </w:tc>
        <w:tc>
          <w:tcPr>
            <w:tcW w:type="dxa" w:w="2448"/>
          </w:tcPr>
          <w:p>
            <w:pPr>
              <w:spacing w:line="240" w:lineRule="auto"/>
            </w:pPr>
            <w:r>
              <w:rPr>
                <w:rFonts w:ascii="Times New Roman" w:hAnsi="Times New Roman"/>
                <w:sz w:val="20"/>
              </w:rPr>
              <w:t>SCS-CN optimized against SWAT-derived values</w:t>
            </w:r>
          </w:p>
        </w:tc>
        <w:tc>
          <w:tcPr>
            <w:tcW w:type="dxa" w:w="2304"/>
          </w:tcPr>
          <w:p>
            <w:pPr>
              <w:spacing w:line="240" w:lineRule="auto"/>
            </w:pPr>
            <w:r>
              <w:rPr>
                <w:rFonts w:ascii="Times New Roman" w:hAnsi="Times New Roman"/>
                <w:sz w:val="20"/>
              </w:rPr>
              <w:t>NSE = 0.72 (cal.), 0.82 (val.); baseflow underestimated</w:t>
            </w:r>
          </w:p>
        </w:tc>
      </w:tr>
      <w:tr>
        <w:tc>
          <w:tcPr>
            <w:tcW w:type="dxa" w:w="2160"/>
          </w:tcPr>
          <w:p>
            <w:pPr>
              <w:spacing w:line="240" w:lineRule="auto"/>
            </w:pPr>
            <w:r>
              <w:rPr>
                <w:rFonts w:ascii="Times New Roman" w:hAnsi="Times New Roman"/>
                <w:sz w:val="20"/>
              </w:rPr>
              <w:t>Admas et al. (2025)</w:t>
            </w:r>
          </w:p>
        </w:tc>
        <w:tc>
          <w:tcPr>
            <w:tcW w:type="dxa" w:w="2448"/>
          </w:tcPr>
          <w:p>
            <w:pPr>
              <w:spacing w:line="240" w:lineRule="auto"/>
            </w:pPr>
            <w:r>
              <w:rPr>
                <w:rFonts w:ascii="Times New Roman" w:hAnsi="Times New Roman"/>
                <w:sz w:val="20"/>
              </w:rPr>
              <w:t>Gumara River, Upper Blue Nile basin, Ethiopia</w:t>
            </w:r>
          </w:p>
        </w:tc>
        <w:tc>
          <w:tcPr>
            <w:tcW w:type="dxa" w:w="2448"/>
          </w:tcPr>
          <w:p>
            <w:pPr>
              <w:spacing w:line="240" w:lineRule="auto"/>
            </w:pPr>
            <w:r>
              <w:rPr>
                <w:rFonts w:ascii="Times New Roman" w:hAnsi="Times New Roman"/>
                <w:sz w:val="20"/>
              </w:rPr>
              <w:t>HEC-HMS + HEC-RAS flood-risk coupling</w:t>
            </w:r>
          </w:p>
        </w:tc>
        <w:tc>
          <w:tcPr>
            <w:tcW w:type="dxa" w:w="2304"/>
          </w:tcPr>
          <w:p>
            <w:pPr>
              <w:spacing w:line="240" w:lineRule="auto"/>
            </w:pPr>
            <w:r>
              <w:rPr>
                <w:rFonts w:ascii="Times New Roman" w:hAnsi="Times New Roman"/>
                <w:sz w:val="20"/>
              </w:rPr>
              <w:t>Inundation quantified for 2–100-year return periods</w:t>
            </w:r>
          </w:p>
        </w:tc>
      </w:tr>
      <w:tr>
        <w:tc>
          <w:tcPr>
            <w:tcW w:type="dxa" w:w="2160"/>
          </w:tcPr>
          <w:p>
            <w:pPr>
              <w:spacing w:line="240" w:lineRule="auto"/>
            </w:pPr>
            <w:r>
              <w:rPr>
                <w:rFonts w:ascii="Times New Roman" w:hAnsi="Times New Roman"/>
                <w:sz w:val="20"/>
              </w:rPr>
              <w:t>Moniruzzaman &amp; Mahalder (2026)</w:t>
            </w:r>
          </w:p>
        </w:tc>
        <w:tc>
          <w:tcPr>
            <w:tcW w:type="dxa" w:w="2448"/>
          </w:tcPr>
          <w:p>
            <w:pPr>
              <w:spacing w:line="240" w:lineRule="auto"/>
            </w:pPr>
            <w:r>
              <w:rPr>
                <w:rFonts w:ascii="Times New Roman" w:hAnsi="Times New Roman"/>
                <w:sz w:val="20"/>
              </w:rPr>
              <w:t>Atrai–Karatoa River basin, Bangladesh</w:t>
            </w:r>
          </w:p>
        </w:tc>
        <w:tc>
          <w:tcPr>
            <w:tcW w:type="dxa" w:w="2448"/>
          </w:tcPr>
          <w:p>
            <w:pPr>
              <w:spacing w:line="240" w:lineRule="auto"/>
            </w:pPr>
            <w:r>
              <w:rPr>
                <w:rFonts w:ascii="Times New Roman" w:hAnsi="Times New Roman"/>
                <w:sz w:val="20"/>
              </w:rPr>
              <w:t>HEC-HMS vs. SWAT comparison</w:t>
            </w:r>
          </w:p>
        </w:tc>
        <w:tc>
          <w:tcPr>
            <w:tcW w:type="dxa" w:w="2304"/>
          </w:tcPr>
          <w:p>
            <w:pPr>
              <w:spacing w:line="240" w:lineRule="auto"/>
            </w:pPr>
            <w:r>
              <w:rPr>
                <w:rFonts w:ascii="Times New Roman" w:hAnsi="Times New Roman"/>
                <w:sz w:val="20"/>
              </w:rPr>
              <w:t>HEC-HMS R² = 0.70 (cal.), 0.56 (val.); best for medium flows</w:t>
            </w:r>
          </w:p>
        </w:tc>
      </w:tr>
    </w:tbl>
    <w:p>
      <w:r>
        <w:rPr>
          <w:i/>
          <w:sz w:val="20"/>
        </w:rPr>
        <w:t>Note. NSE = Nash–Sutcliffe efficiency; R² = coefficient of determination; CN = curve number; UH = unit hydrograph; SMA = soil moisture accounting; cal. = calibration; val. = validation.</w:t>
      </w:r>
    </w:p>
    <w:p>
      <w:r>
        <w:rPr>
          <w:b/>
        </w:rPr>
        <w:t>2.6 Hydrological Modeling Experience in Bangladesh</w:t>
      </w:r>
    </w:p>
    <w:p>
      <w:pPr>
        <w:ind w:firstLine="720"/>
        <w:jc w:val="left"/>
      </w:pPr>
      <w:r>
        <w:t>Bangladesh occupies the lowermost reach of the Ganges–Brahmaputra–Meghna system, in which normal-season inundation of floodplains and beels is agriculturally essential while abnormal floods and chronic waterlogging are hazards. Against this backdrop, the national academic literature has increasingly adopted HEC-HMS for basin-scale rainfall–runoff studies because of its zero cost and modest data demands, and the post-2019 record now spans the country’s principal basin types.</w:t>
      </w:r>
    </w:p>
    <w:p>
      <w:pPr>
        <w:ind w:firstLine="720"/>
        <w:jc w:val="left"/>
      </w:pPr>
      <w:r>
        <w:t>Several recent applications define the state of practice. S. Haque et al. (2020) developed a continuous HEC-HMS model of the poorly gauged Brahmaputra basin, calibrated at Bahadurabad against daily runoff for 1983–1996 (NSE = 0.65) and validated for 1997–2010 (NSE = 0.54), and extended it with the Modified Universal Soil Loss Equation and Engelund–Hansen sediment routing to project sediment-load increases of 34%, 67%, and 115% by the 2020s, 2050s, and 2080s under the RCP8.5 scenario—demonstrating the use of HEC-HMS as the hydrological engine of climate-impact chains. Nujhat et al. (2024) calibrated and validated a model of the Gumti River basin using 2019–2021 records with SRTM-based delineation, Muskingum routing, and SCS-CN losses, obtaining coefficients of determination of 0.64 and 0.68 for calibration and validation respectively, with percent bias in the very good range, and recommended the calibrated model as a planning tool for flood prediction. M. B. Haque et al. (2024) modeled the ecologically important Halda catchment, optimizing curve numbers against values derived from a companion SWAT application and achieving NSE values of 0.72 and 0.82 in calibration and validation, while candidly documenting baseflow underestimation. Moniruzzaman and Mahalder (2026) compared HEC-HMS and SWAT for the Atrai–Karatoa basin of northern Bangladesh—a basin hydrologically contiguous with the greater Chalan Beel floodplain to which the Pabna beel systems belong—finding that SWAT better captured high flows while HEC-HMS was more accurate for medium flows, with HEC-HMS achieving R² of 0.70 and 0.56 in calibration and validation.</w:t>
      </w:r>
    </w:p>
    <w:p>
      <w:pPr>
        <w:ind w:firstLine="720"/>
        <w:jc w:val="left"/>
      </w:pPr>
      <w:r>
        <w:t>Complementary studies using other models complete the picture. Raihan et al. (2020) simulated streamflow of the Upper Halda basin with SWAT (R² = 0.80, NSE = 0.71), identifying groundwater delay, baseflow recession, and curve number as the most sensitive parameters, and emphasizing the difficulty of capturing rainfall variability from a single gauge. Datta et al. (2022) contributed the DEM-sensitivity analysis of watershed delineation reviewed in Section 2.4.1, and Jawad (2024) demonstrated satellite-forced coupled hydrologic–hydraulic modeling for the Bangladeshi reach of the Brahmaputra.</w:t>
      </w:r>
    </w:p>
    <w:p>
      <w:pPr>
        <w:ind w:firstLine="720"/>
        <w:jc w:val="left"/>
      </w:pPr>
      <w:r>
        <w:t>Taken together, the Bangladeshi HEC-HMS literature exhibits a clear spatial bias: published applications concentrate on large transboundary basins (Brahmaputra), flashy piedmont and hill catchments (Halda, Gumti), and the Atrai–Karatoa corridor. The moribund distributary systems of the Ganges right bank—of which the Ichamoti River of Pabna is a prominent example—and their associated beel catchments have not, to the author’s knowledge, been the subject of any published HEC-HMS rainfall–runoff study. It is precisely in such systems, where local rainfall and drainage congestion rather than upstream river floods govern inundation, that runoff quantification is most needed for drainage design, yet where gauging is thinnest. This gap frames the contribution of the present thesis.</w:t>
      </w:r>
    </w:p>
    <w:p>
      <w:r>
        <w:rPr>
          <w:b/>
        </w:rPr>
        <w:t>2.7 Beel and Floodplain-Wetland Hydrology and the Ichamoti–Gumai Beel Context</w:t>
      </w:r>
    </w:p>
    <w:p>
      <w:pPr>
        <w:ind w:firstLine="720"/>
        <w:jc w:val="left"/>
      </w:pPr>
      <w:r>
        <w:t>Wetland hydrology differs fundamentally from upland catchment hydrology: the water regime—the seasonal pattern of water-level rise and fall—is the master variable controlling wetland biogeochemistry, ecology, and land use, and altered hydrology is correspondingly identified as the principal pathway by which environmental change degrades wetland function (Salimi et al., 2021). In the floodplains of Bangladesh, the characteristic wetland landform is the beel, a saucer-shaped depression on the floodplain that retains water perennially or seasonally and is filled both by direct rainfall-runoff from its local catchment and by spill from adjacent rivers during the monsoon (Adnan et al., 2020). Agriculture, capture fisheries, and settlement in beel areas are finely adapted to the normal seasonal water regime, so that both deficient drainage (prolonged waterlogging) and excessive drainage (loss of dry-season water) constitute hazards, and remote-sensing studies of Bangladeshi wetland systems document rapid ongoing conversion of wetland classes to agriculture and settlement under such pressures (Bhattacharjee et al., 2021).</w:t>
      </w:r>
    </w:p>
    <w:p>
      <w:pPr>
        <w:ind w:firstLine="720"/>
        <w:jc w:val="left"/>
      </w:pPr>
      <w:r>
        <w:t>The hydrology of the beels of western Bangladesh cannot be understood apart from two generations of anthropogenic intervention. The first is the long-term decline of dry-season flows in the Ganges distributary network. Ali and Hasan (2022), analyzing Bangladesh Water Development Board discharge records for the Gorai—the principal Ganges distributary and the regional analogue of the Ichamoti—found that mean annual flow in 2000–2016 was about 13% lower than in 1984–1999, quantified a deficient-flow condition persisting from December to May, and estimated that the river now frequently fails to meet its environmental flow requirement of roughly 29% of mean annual flow. Reduced parent-river flows starve distributary offtakes of the sediment-flushing discharges that keep them open, initiating the progressive siltation and eventual hydraulic disconnection of distributaries such as the Ichamoti. The second generation of intervention comprises the embankment, polder, and flood control–drainage–irrigation infrastructure constructed from the 1960s onward, including the Pabna Irrigation and Rural Development Project that encloses much of the study region. The systemic consequence of such enclosure, documented most thoroughly for the embanked southwest delta, is internal drainage congestion: embankments disconnect the floodplain from the river network, sediment accretes in the riverbeds rather than on the floodplain, gravity drainage progressively fails, and monsoon runoff accumulates in the enclosed beels as pluvial flooding (Adnan et al., 2020). Adnan et al. (2020) showed that in the embanked southwest, a large majority of agricultural land now lies in flood-susceptible zones, and they evaluated controlled sediment reintroduction (tidal river management) in low-lying beels as a rehabilitation measure—evidence that beel drainage problems are structural and regional rather than local anomalies.</w:t>
      </w:r>
    </w:p>
    <w:p>
      <w:pPr>
        <w:ind w:firstLine="720"/>
        <w:jc w:val="left"/>
      </w:pPr>
      <w:r>
        <w:t>The Ichamoti River of Pabna exemplifies the resulting condition. Originating from the Padma near Shibrampur in Pabna Sadar and following a course of approximately 82–84 km through Pabna town toward the Hurasagar system in Bera upazila, the river has lost its connection with its parent rivers and is now widely described as dead or dying, its channel constricted by siltation, encroachment, solid-waste dumping, and aquatic weed infestation (“Ichhamati Now a Trickle,” 2019; “Tk 1,554cr Project,” 2024). Within Pabna municipality, the river bisects the town but no longer functions as an effective drainage outfall: Parvez et al. (2021) documented that the Ichamoti is moribund—choked with water weeds and sediment—and that parts of the municipality are subject to inundation during and after heavy rainfall, with residents identifying blocked and undersized drains, absent maintenance, and the unplanned drainage network as leading causes of waterlogging. Recognizing this condition, the Government of Bangladesh has undertaken a major rejuvenation program: a Tk 1,554.90 crore project implemented by the Bangladesh Water Development Board, involving dredging of a 33.77 km river stretch together with connecting canals including the Bharara channel, is intended to restore the Ichamoti’s connectivity with the Padma and Jamuna systems (“Tk 1,554cr Project,” 2024).</w:t>
      </w:r>
    </w:p>
    <w:p>
      <w:pPr>
        <w:ind w:firstLine="720"/>
        <w:jc w:val="left"/>
      </w:pPr>
      <w:r>
        <w:t>The Gumai Beel, the focus of the present study, is one of the beel systems of the Pabna floodplain drained through the Ichamoti corridor. Its inundation behavior is governed by the interaction of three controls that the reviewed literature identifies as characteristic of embanked distributary floodplains: local monsoon rainfall-runoff from the beel catchment; the conveyance capacity of the silted Ichamoti and its khals (canals), which sets the rate at which stored water can drain; and the stage of the receiving rivers, which can impose backwater limits on drainage (Adnan et al., 2020; Parvez et al., 2021). A rainfall–runoff model of the beel catchment is the necessary first element of any quantitative analysis of this system: it supplies the inflow boundary condition for drainage design, for evaluation of the rejuvenation project’s hydrological benefits, and for assessment of waterlogging risk under current and future rainfall regimes. The regional wetland literature reinforces the urgency of such quantification, as neighboring floodplain wetlands—most prominently the greater Chalan Beel system to which the Atrai–Karatoa drainage belongs—have experienced severe shrinkage and hydrological fragmentation under siltation, embankment construction, and land conversion (Bhattacharjee et al., 2021; Moniruzzaman &amp; Mahalder, 2026).</w:t>
      </w:r>
    </w:p>
    <w:p>
      <w:r>
        <w:rPr>
          <w:b/>
        </w:rPr>
        <w:t>2.8 Model Calibration, Validation, and Performance Evaluation</w:t>
      </w:r>
    </w:p>
    <w:p>
      <w:pPr>
        <w:ind w:firstLine="720"/>
        <w:jc w:val="left"/>
      </w:pPr>
      <w:r>
        <w:t>Credible use of any rainfall–runoff model requires a disciplined testing protocol. The conventional framework is the split-sample test, in which the observational record is divided so that the model is calibrated on one period and validated on an independent period; essentially all of the applications reviewed above follow this protocol (Hamdan et al., 2021; Nujhat et al., 2024; S. Haque et al., 2020; Tassew et al., 2019). The framework itself, however, is under active re-examination. Shen et al. (2022), in a large-sample experiment spanning 463 catchments, two conceptual models, and 50 data-splitting schemes, found that the common practice of calibrating to older data and validating on newer data systematically degrades subsequent predictive performance, and that calibrating to all available data is the most robust strategy when the model will be used operationally. For a thesis context, where independent demonstration of predictive skill remains an examination requirement, these findings argue for reporting both a conventional split-sample evaluation and a final parameter set re-estimated on the full record—the approach adopted in Chapter 3.</w:t>
      </w:r>
    </w:p>
    <w:p>
      <w:pPr>
        <w:ind w:firstLine="720"/>
        <w:jc w:val="left"/>
      </w:pPr>
      <w:r>
        <w:t>Quantitative performance evaluation rests on a small set of statistics whose properties have been sharply clarified in recent years. The Nash–Sutcliffe efficiency remains the most widely reported metric, with values above zero indicating improvement on the observed-mean benchmark and values above approximately 0.5 conventionally regarded as satisfactory for streamflow, as applied in the Bangladeshi and Ethiopian studies reviewed above (Moniruzzaman &amp; Mahalder, 2026; Nujhat et al., 2024; Tassew et al., 2019). The Kling–Gupta efficiency (KGE), which decomposes performance into correlation, bias, and variability components, is increasingly reported alongside NSE; Knoben et al. (2019) demonstrated, however, that KGE and NSE values are not directly comparable—the observed-mean benchmark corresponds to KGE ≈ −0.41 rather than zero—and cautioned modelers against transferring NSE-based intuitions to KGE scores. Althoff and Rodrigues (2021) provided a systematic analysis of goodness-of-fit criteria for model calibration and evaluation, showing that the choice of objective function materially shapes the resulting parameter set and recommending that criteria be matched deliberately to the modeling purpose—for example, peak-oriented criteria for flood design versus volume-oriented criteria for water-balance assessment. Percent bias and the RMSE–observations standard deviation ratio complete the standard reporting set used in the recent Bangladeshi applications (M. B. Haque et al., 2024; Nujhat et al., 2024; S. Haque et al., 2020), and the present study will report all four statistics for both calibration and validation periods, accompanied by graphical hydrograph comparison.</w:t>
      </w:r>
    </w:p>
    <w:p>
      <w:pPr>
        <w:ind w:firstLine="720"/>
        <w:jc w:val="left"/>
      </w:pPr>
      <w:r>
        <w:t>Calibration itself may be manual, automated, or hybrid. HEC-HMS provides univariate-gradient and simplex search algorithms with a choice of objective functions (USACE, n.d.), and reviewed applications span the full range of practice: manual calibration guided by physical reasoning (Nujhat et al., 2024), automated optimization (Jawad, 2024; Tassew et al., 2019), and staged strategies in which sensitivity analysis precedes calibration to concentrate effort on influential parameters (Admas et al., 2025). The consistent finding that curve number, lag time, and Muskingum K dominate model response (Tassew et al., 2019) provides a defensible starting parameter set for the present study. Finally, the recent metric literature carries an implicit warning about equifinality: because different objective functions select different acceptable parameter sets (Althoff &amp; Rodrigues, 2021), and because aggregate scores can mask compensating errors in correlation, bias, and variability (Knoben et al., 2019), good practice now favors reporting calibrated parameter ranges, decomposed performance components, and alternative method combinations rather than a single nominally optimal model—a principle incorporated in the methodology of this thesis.</w:t>
      </w:r>
    </w:p>
    <w:p>
      <w:r>
        <w:rPr>
          <w:b/>
        </w:rPr>
        <w:t>2.9 Synthesis and Research Gap</w:t>
      </w:r>
    </w:p>
    <w:p>
      <w:pPr>
        <w:ind w:firstLine="720"/>
        <w:jc w:val="left"/>
      </w:pPr>
      <w:r>
        <w:t>The reviewed literature supports four conclusions that together define the position of the present study. First, conceptual semi-distributed modeling with HEC-HMS is a mature, extensively validated approach whose default method combination (SCS-CN loss, SCS unit hydrograph transform, Muskingum routing) performs satisfactorily across monsoonal and semi-arid climates, provided that method choices are justified for the landscape and purpose at hand and that curve number estimation receives particular care (Hamdan et al., 2021; Horton et al., 2022; Soulis, 2021; Tassew et al., 2019). Second, the data infrastructure required for such modeling—global DEMs, satellite land cover, and satellite or reanalysis precipitation—is available for Bangladesh, but flat deltaic terrain imposes recognized hazards on automated delineation, and precipitation-product limitations for extremes must be managed deliberately (Datta et al., 2022; Pradhan et al., 2022; Uuemaa et al., 2020). Third, published Bangladeshi applications of HEC-HMS cluster in large transboundary and piedmont basins (Jawad, 2024; M. B. Haque et al., 2024; Moniruzzaman &amp; Mahalder, 2026; Nujhat et al., 2024; S. Haque et al., 2020); no published study has modeled rainfall–runoff in the beel catchments of the moribund Ganges distributaries, of which the Ichamoti–Gumai Beel system is representative. Fourth, the hydrological problem of such systems is distinctive: inundation is governed by local runoff accumulating behind congested drainage rather than by riverine flood waves (Adnan et al., 2020; Parvez et al., 2021), while the long-term decline of the distributary network reflects basin-scale flow reduction that is well quantified for the neighboring Gorai but has never been connected to a quantitative runoff model of the beel itself (Ali &amp; Hasan, 2022).</w:t>
      </w:r>
    </w:p>
    <w:p>
      <w:pPr>
        <w:ind w:firstLine="720"/>
        <w:jc w:val="left"/>
      </w:pPr>
      <w:r>
        <w:t>The research gap addressed by this thesis follows directly. A calibrated and validated HEC-HMS rainfall–runoff model of the Gumai Beel catchment will provide the first quantitative estimate of the runoff volumes and hydrograph dynamics that the Ichamoti drainage corridor must convey, thereby supplying the hydrological foundation for drainage design and for evaluation of the ongoing river rejuvenation program (“Tk 1,554cr Project,” 2024). Methodologically, the study extends the Bangladeshi HEC-HMS literature into an ultra-flat, wetland-dominated, data-scarce environment in which DEM limitations, seasonal land-cover alternation, and baseflow-storage behavior pose challenges identified but not resolved in previous work (Datta et al., 2022; M. B. Haque et al., 2024). The methods adopted in Chapter 3—comparative testing of loss and transform methods, field-verified delineation, gauge-primary forcing with reanalysis gap filling, split-sample testing informed by current calibration research, and performance evaluation using NSE, KGE, percent bias, and RSR with purpose-matched objective functions—are each grounded in the literature reviewed in this chapter (Althoff &amp; Rodrigues, 2021; Knoben et al., 2019; Shen et al., 2022).</w:t>
      </w:r>
    </w:p>
    <w:p>
      <w:r>
        <w:br w:type="page"/>
      </w:r>
    </w:p>
    <w:p>
      <w:pPr>
        <w:jc w:val="center"/>
      </w:pPr>
      <w:r>
        <w:rPr>
          <w:b/>
        </w:rPr>
        <w:t>References</w:t>
      </w:r>
    </w:p>
    <w:p>
      <w:pPr>
        <w:ind w:left="720" w:hanging="720"/>
      </w:pPr>
      <w:r>
        <w:t>Adnan, M. S. G., Talchabhadel, R., Nakagawa, H., &amp; Hall, J. W. (2020). The potential of Tidal River Management for flood alleviation in South Western Bangladesh. Science of the Total Environment, 731, Article 138747. https://doi.org/10.1016/j.scitotenv.2020.138747</w:t>
      </w:r>
    </w:p>
    <w:p>
      <w:pPr>
        <w:ind w:left="720" w:hanging="720"/>
      </w:pPr>
      <w:r>
        <w:t>Admas, M., Asrade, T. M., &amp; Cherie, W. D. (2025). Application of the HEC-RAS and HEC-HMS models for flood risk analysis in the Gumara River, Upper Blue Nile Basin, Ethiopia. Advances in Meteorology, 2025, Article 5092932. https://doi.org/10.1155/adme/5092932</w:t>
      </w:r>
    </w:p>
    <w:p>
      <w:pPr>
        <w:ind w:left="720" w:hanging="720"/>
      </w:pPr>
      <w:r>
        <w:t>Ali, M. S., &amp; Hasan, M. M. (2022). Environmental flow assessment of Gorai River in Bangladesh: A comparative analysis of different hydrological methods. Heliyon, 8(7), Article e09857. https://doi.org/10.1016/j.heliyon.2022.e09857</w:t>
      </w:r>
    </w:p>
    <w:p>
      <w:pPr>
        <w:ind w:left="720" w:hanging="720"/>
      </w:pPr>
      <w:r>
        <w:t>Aliye, M. A., Aga, A. O., Tadesse, T., &amp; Yohannes, P. (2020). Evaluating the performance of HEC-HMS and SWAT hydrological models in simulating the rainfall-runoff process for data scarce region of Ethiopian Rift Valley Lake Basin. Open Journal of Modern Hydrology, 10(4), 105–122. https://doi.org/10.4236/ojmh.2020.104007</w:t>
      </w:r>
    </w:p>
    <w:p>
      <w:pPr>
        <w:ind w:left="720" w:hanging="720"/>
      </w:pPr>
      <w:r>
        <w:t>Althoff, D., &amp; Rodrigues, L. N. (2021). Goodness-of-fit criteria for hydrological models: Model calibration and performance assessment. Journal of Hydrology, 600, Article 126674. https://doi.org/10.1016/j.jhydrol.2021.126674</w:t>
      </w:r>
    </w:p>
    <w:p>
      <w:pPr>
        <w:ind w:left="720" w:hanging="720"/>
      </w:pPr>
      <w:r>
        <w:t>Bhattacharjee, S., Islam, M. T., Kabir, M. E., &amp; Kabir, M. M. (2021). Land-use and land-cover change detection in a north-eastern wetland ecosystem of Bangladesh using remote sensing and GIS techniques. Earth Systems and Environment, 5(2), 319–340. https://doi.org/10.1007/s41748-021-00228-3</w:t>
      </w:r>
    </w:p>
    <w:p>
      <w:pPr>
        <w:ind w:left="720" w:hanging="720"/>
      </w:pPr>
      <w:r>
        <w:t>Datta, S., Karmakar, S., Mezbahuddin, S., Chaudhary, B. S., Hossain, M. M., Hoque, M. E., Abdullah-Al-Mamun, M. M., &amp; Baul, T. K. (2022). The limits of watershed delineation: Implications of different DEMs, DEM resolutions, and area threshold values. Hydrology Research, 53(8), 1047–1062. https://doi.org/10.2166/nh.2022.126</w:t>
      </w:r>
    </w:p>
    <w:p>
      <w:pPr>
        <w:ind w:left="720" w:hanging="720"/>
      </w:pPr>
      <w:r>
        <w:t>Hamdan, A. N. A., Almuktar, S., &amp; Scholz, M. (2021). Rainfall-runoff modeling using the HEC-HMS model for the Al-Adhaim River catchment, northern Iraq. Hydrology, 8(2), Article 58. https://doi.org/10.3390/hydrology8020058</w:t>
      </w:r>
    </w:p>
    <w:p>
      <w:pPr>
        <w:ind w:left="720" w:hanging="720"/>
      </w:pPr>
      <w:r>
        <w:t>Haque, M. B., Karmakar, S., &amp; Hossain, M. M. (2024). Rainfall-runoff modeling using the HEC-HMS flow modeling framework for the Halda River catchment, Bangladesh [Preprint]. Research Square. https://doi.org/10.21203/rs.3.rs-3824469/v1</w:t>
      </w:r>
    </w:p>
    <w:p>
      <w:pPr>
        <w:ind w:left="720" w:hanging="720"/>
      </w:pPr>
      <w:r>
        <w:t>Haque, S., Ali, M. M., Islam, A. K. M. S., &amp; Khan, M. J. U. (2020). Changes in flow and sediment load of poorly gauged Brahmaputra river basin under an extreme climate scenario. Journal of Water and Climate Change, 12(3), 937–954. https://doi.org/10.2166/wcc.2020.219</w:t>
      </w:r>
    </w:p>
    <w:p>
      <w:pPr>
        <w:ind w:left="720" w:hanging="720"/>
      </w:pPr>
      <w:r>
        <w:t>Hersbach, H., Bell, B., Berrisford, P., Hirahara, S., Horányi, A., Muñoz-Sabater, J., Nicolas, J., Peubey, C., Radu, R., Schepers, D., Simmons, A., Soci, C., Abdalla, S., Abellan, X., Balsamo, G., Bechtold, P., Biavati, G., Bidlot, J., Bonavita, M., … Thépaut, J.-N. (2020). The ERA5 global reanalysis. Quarterly Journal of the Royal Meteorological Society, 146(730), 1999–2049. https://doi.org/10.1002/qj.3803</w:t>
      </w:r>
    </w:p>
    <w:p>
      <w:pPr>
        <w:ind w:left="720" w:hanging="720"/>
      </w:pPr>
      <w:r>
        <w:t>Horton, P., Schaefli, B., &amp; Kauzlaric, M. (2022). Why do we have so many different hydrological models? A review based on the case of Switzerland. WIREs Water, 9(1), Article e1574. https://doi.org/10.1002/wat2.1574</w:t>
      </w:r>
    </w:p>
    <w:p>
      <w:pPr>
        <w:ind w:left="720" w:hanging="720"/>
      </w:pPr>
      <w:r>
        <w:t>Ichhamati now a trickle. (2019). The Daily Star. https://www.thedailystar.net/backpage/news/ichhamati-now-trickle-1828042</w:t>
      </w:r>
    </w:p>
    <w:p>
      <w:pPr>
        <w:ind w:left="720" w:hanging="720"/>
      </w:pPr>
      <w:r>
        <w:t>Jawad, M. (2024). Evaluation of near real-time Global Precipitation Measurement (GPM) precipitation products for hydrological modelling and flood inundation mapping of sparsely gauged large transboundary basins—A case study of the Brahmaputra basin. Remote Sensing, 16(10), Article 1756. https://doi.org/10.3390/rs16101756</w:t>
      </w:r>
    </w:p>
    <w:p>
      <w:pPr>
        <w:ind w:left="720" w:hanging="720"/>
      </w:pPr>
      <w:r>
        <w:t>Knoben, W. J. M., Freer, J. E., &amp; Woods, R. A. (2019). Technical note: Inherent benchmark or not? Comparing Nash–Sutcliffe and Kling–Gupta efficiency scores. Hydrology and Earth System Sciences, 23(10), 4323–4331. https://doi.org/10.5194/hess-23-4323-2019</w:t>
      </w:r>
    </w:p>
    <w:p>
      <w:pPr>
        <w:ind w:left="720" w:hanging="720"/>
      </w:pPr>
      <w:r>
        <w:t>Moniruzzaman, M., &amp; Mahalder, B. (2026). Assessing SWAT and HEC-HMS model efficiency for watershed management in the Atrai-Karatoa River Basin, Bangladesh. Evolving Earth, 4, Article 100136. https://doi.org/10.1016/j.eve.2026.100136</w:t>
      </w:r>
    </w:p>
    <w:p>
      <w:pPr>
        <w:ind w:left="720" w:hanging="720"/>
      </w:pPr>
      <w:r>
        <w:t>Nujhat, M., Rayhan, M., &amp; Amin, M. K. (2024). Hydrological modelling and its implication in sustainable water resource management in Gumti River Basin in Bangladesh. International Journal of Sustainability in Energy and Environment, 1(2), 40–48.</w:t>
      </w:r>
    </w:p>
    <w:p>
      <w:pPr>
        <w:ind w:left="720" w:hanging="720"/>
      </w:pPr>
      <w:r>
        <w:t>Parvez, M., Sadat, N., Tasnim, F., &amp; Nejhum, I. J. (2021). Identifying the causes of waterlogging on people’s perception towards a resilient community: A case study on Pabna Municipality, Bangladesh. Ecofeminism and Climate Change, 2(3), 110–126. https://doi.org/10.1108/EFCC-11-2020-0033</w:t>
      </w:r>
    </w:p>
    <w:p>
      <w:pPr>
        <w:ind w:left="720" w:hanging="720"/>
      </w:pPr>
      <w:r>
        <w:t>Pradhan, R. K., Markonis, Y., Vargas Godoy, M. R., Villalba-Pradas, A., Andreadis, K. M., Nikolopoulos, E. I., Papalexiou, S. M., Rahim, A., Tapiador, F. J., &amp; Hanel, M. (2022). Review of GPM IMERG performance: A global perspective. Remote Sensing of Environment, 268, Article 112754. https://doi.org/10.1016/j.rse.2021.112754</w:t>
      </w:r>
    </w:p>
    <w:p>
      <w:pPr>
        <w:ind w:left="720" w:hanging="720"/>
      </w:pPr>
      <w:r>
        <w:t>Raihan, F., Beaumont, L. J., Maina, J., Saiful Islam, A. K. M., &amp; Harrison, S. P. (2020). Simulating streamflow in the Upper Halda Basin of southeastern Bangladesh using SWAT model. Hydrological Sciences Journal, 65(1), 138–151. https://doi.org/10.1080/02626667.2019.1682149</w:t>
      </w:r>
    </w:p>
    <w:p>
      <w:pPr>
        <w:ind w:left="720" w:hanging="720"/>
      </w:pPr>
      <w:r>
        <w:t>Salimi, S., Almuktar, S. A. A. A. N., &amp; Scholz, M. (2021). Impact of climate change on wetland ecosystems: A critical review of experimental wetlands. Journal of Environmental Management, 286, Article 112160. https://doi.org/10.1016/j.jenvman.2021.112160</w:t>
      </w:r>
    </w:p>
    <w:p>
      <w:pPr>
        <w:ind w:left="720" w:hanging="720"/>
      </w:pPr>
      <w:r>
        <w:t>Shen, H., Tolson, B. A., &amp; Mai, J. (2022). Time to update the split-sample approach in hydrological model calibration. Water Resources Research, 58(3), Article e2021WR031523. https://doi.org/10.1029/2021WR031523</w:t>
      </w:r>
    </w:p>
    <w:p>
      <w:pPr>
        <w:ind w:left="720" w:hanging="720"/>
      </w:pPr>
      <w:r>
        <w:t>Soulis, K. X. (2021). Soil Conservation Service Curve Number (SCS-CN) method: Current applications, remaining challenges, and future perspectives. Water, 13(2), Article 192. https://doi.org/10.3390/w13020192</w:t>
      </w:r>
    </w:p>
    <w:p>
      <w:pPr>
        <w:ind w:left="720" w:hanging="720"/>
      </w:pPr>
      <w:r>
        <w:t>Tassew, B. G., Belete, M. A., &amp; Miegel, K. (2019). Application of HEC-HMS model for flow simulation in the Lake Tana Basin: The case of Gilgel Abay catchment, Upper Blue Nile Basin, Ethiopia. Hydrology, 6(1), Article 21. https://doi.org/10.3390/hydrology6010021</w:t>
      </w:r>
    </w:p>
    <w:p>
      <w:pPr>
        <w:ind w:left="720" w:hanging="720"/>
      </w:pPr>
      <w:r>
        <w:t>Tk 1,554cr project to revive dying Ichamati. (2024). The Daily Star. https://www.thedailystar.net/news/bangladesh/news/tk-1554cr-project-revive-dying-ichamati-3555931</w:t>
      </w:r>
    </w:p>
    <w:p>
      <w:pPr>
        <w:ind w:left="720" w:hanging="720"/>
      </w:pPr>
      <w:r>
        <w:t>U.S. Army Corps of Engineers, Hydrologic Engineering Center. (n.d.). HEC-HMS technical reference manual. Retrieved August 16, 2026, from https://www.hec.usace.army.mil/confluence/hmsdocs/hmstrm</w:t>
      </w:r>
    </w:p>
    <w:p>
      <w:pPr>
        <w:ind w:left="720" w:hanging="720"/>
      </w:pPr>
      <w:r>
        <w:t>Uuemaa, E., Ahi, S., Montibeller, B., Muru, M., &amp; Kmoch, A. (2020). Vertical accuracy of freely available global digital elevation models (ASTER, AW3D30, MERIT, TanDEM-X, SRTM, and NASADEM). Remote Sensing, 12(21), Article 3482. https://doi.org/10.3390/rs12213482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