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both"/>
      </w:pPr>
    </w:p>
    <w:p>
      <w:pPr>
        <w:spacing w:line="360" w:lineRule="auto" w:before="0" w:after="0"/>
        <w:jc w:val="center"/>
      </w:pPr>
      <w:r>
        <w:rPr>
          <w:rFonts w:ascii="Times New Roman" w:hAnsi="Times New Roman"/>
          <w:b/>
          <w:i w:val="0"/>
          <w:sz w:val="28"/>
        </w:rPr>
        <w:t>Cross-Border Renewable Electricity Trade: Evaluating</w:t>
      </w:r>
    </w:p>
    <w:p>
      <w:pPr>
        <w:spacing w:line="360" w:lineRule="auto" w:before="0" w:after="0"/>
        <w:jc w:val="center"/>
      </w:pPr>
      <w:r>
        <w:rPr>
          <w:rFonts w:ascii="Times New Roman" w:hAnsi="Times New Roman"/>
          <w:b/>
          <w:i w:val="0"/>
          <w:sz w:val="28"/>
        </w:rPr>
        <w:t>Hydropower Import Options from Nepal and India for</w:t>
      </w:r>
    </w:p>
    <w:p>
      <w:pPr>
        <w:spacing w:line="360" w:lineRule="auto" w:before="0" w:after="0"/>
        <w:jc w:val="center"/>
      </w:pPr>
      <w:r>
        <w:rPr>
          <w:rFonts w:ascii="Times New Roman" w:hAnsi="Times New Roman"/>
          <w:b/>
          <w:i w:val="0"/>
          <w:sz w:val="28"/>
        </w:rPr>
        <w:t>Bangladesh</w:t>
      </w:r>
    </w:p>
    <w:p>
      <w:pPr>
        <w:spacing w:line="360" w:lineRule="auto" w:before="0" w:after="0"/>
        <w:jc w:val="both"/>
      </w:pPr>
    </w:p>
    <w:p>
      <w:pPr>
        <w:spacing w:line="360" w:lineRule="auto" w:before="0" w:after="0"/>
        <w:jc w:val="center"/>
      </w:pPr>
      <w:r>
        <w:rPr>
          <w:rFonts w:ascii="Times New Roman" w:hAnsi="Times New Roman"/>
          <w:b w:val="0"/>
          <w:i w:val="0"/>
          <w:sz w:val="24"/>
        </w:rPr>
        <w:t>Term Paper: 02</w:t>
      </w:r>
    </w:p>
    <w:p>
      <w:pPr>
        <w:spacing w:line="360" w:lineRule="auto" w:before="0" w:after="0"/>
        <w:jc w:val="center"/>
      </w:pPr>
      <w:r>
        <w:rPr>
          <w:rFonts w:ascii="Times New Roman" w:hAnsi="Times New Roman"/>
          <w:b w:val="0"/>
          <w:i w:val="0"/>
          <w:sz w:val="24"/>
        </w:rPr>
        <w:t>Course: Renewable Energy Technologies</w:t>
      </w:r>
    </w:p>
    <w:p>
      <w:pPr>
        <w:spacing w:line="360" w:lineRule="auto" w:before="0" w:after="0"/>
        <w:jc w:val="center"/>
      </w:pPr>
      <w:r>
        <w:rPr>
          <w:rFonts w:ascii="Times New Roman" w:hAnsi="Times New Roman"/>
          <w:b w:val="0"/>
          <w:i w:val="0"/>
          <w:sz w:val="24"/>
        </w:rPr>
        <w:t>Course No: ENV-524</w:t>
      </w:r>
    </w:p>
    <w:p>
      <w:pPr>
        <w:spacing w:line="360" w:lineRule="auto" w:before="0" w:after="0"/>
        <w:jc w:val="both"/>
      </w:pPr>
    </w:p>
    <w:p>
      <w:pPr>
        <w:spacing w:line="360" w:lineRule="auto" w:before="0" w:after="0"/>
        <w:jc w:val="both"/>
      </w:pPr>
    </w:p>
    <w:p>
      <w:pPr>
        <w:spacing w:line="360" w:lineRule="auto" w:before="0" w:after="0"/>
        <w:jc w:val="center"/>
      </w:pPr>
      <w:r>
        <w:rPr>
          <w:rFonts w:ascii="Times New Roman" w:hAnsi="Times New Roman"/>
          <w:b/>
          <w:i w:val="0"/>
          <w:sz w:val="24"/>
        </w:rPr>
        <w:t>Submitted By</w:t>
      </w:r>
    </w:p>
    <w:p>
      <w:pPr>
        <w:spacing w:line="360" w:lineRule="auto" w:before="0" w:after="0"/>
        <w:jc w:val="center"/>
      </w:pPr>
      <w:r>
        <w:rPr>
          <w:rFonts w:ascii="Times New Roman" w:hAnsi="Times New Roman"/>
          <w:b w:val="0"/>
          <w:i w:val="0"/>
          <w:sz w:val="24"/>
        </w:rPr>
        <w:t>Shumaia Haque Shuvra</w:t>
      </w:r>
    </w:p>
    <w:p>
      <w:pPr>
        <w:spacing w:line="360" w:lineRule="auto" w:before="0" w:after="0"/>
        <w:jc w:val="center"/>
      </w:pPr>
      <w:r>
        <w:rPr>
          <w:rFonts w:ascii="Times New Roman" w:hAnsi="Times New Roman"/>
          <w:b w:val="0"/>
          <w:i w:val="0"/>
          <w:sz w:val="24"/>
        </w:rPr>
        <w:t>Id: 18208127</w:t>
      </w:r>
    </w:p>
    <w:p>
      <w:pPr>
        <w:spacing w:line="360" w:lineRule="auto" w:before="0" w:after="0"/>
        <w:jc w:val="center"/>
      </w:pPr>
      <w:r>
        <w:rPr>
          <w:rFonts w:ascii="Times New Roman" w:hAnsi="Times New Roman"/>
          <w:b w:val="0"/>
          <w:i w:val="0"/>
          <w:sz w:val="24"/>
        </w:rPr>
        <w:t>Session: 2022-2023</w:t>
      </w:r>
    </w:p>
    <w:p>
      <w:pPr>
        <w:spacing w:line="360" w:lineRule="auto" w:before="0" w:after="0"/>
        <w:jc w:val="center"/>
      </w:pPr>
      <w:r>
        <w:rPr>
          <w:rFonts w:ascii="Times New Roman" w:hAnsi="Times New Roman"/>
          <w:b w:val="0"/>
          <w:i w:val="0"/>
          <w:sz w:val="24"/>
        </w:rPr>
        <w:t>MS in Environmental Science</w:t>
      </w:r>
    </w:p>
    <w:p>
      <w:pPr>
        <w:spacing w:line="360" w:lineRule="auto" w:before="0" w:after="0"/>
        <w:jc w:val="center"/>
      </w:pPr>
      <w:r>
        <w:rPr>
          <w:rFonts w:ascii="Times New Roman" w:hAnsi="Times New Roman"/>
          <w:b w:val="0"/>
          <w:i w:val="0"/>
          <w:sz w:val="24"/>
        </w:rPr>
        <w:t>University of Chittagong</w:t>
      </w:r>
    </w:p>
    <w:p>
      <w:pPr>
        <w:spacing w:line="360" w:lineRule="auto" w:before="0" w:after="0"/>
        <w:jc w:val="both"/>
      </w:pPr>
    </w:p>
    <w:p>
      <w:pPr>
        <w:spacing w:line="360" w:lineRule="auto" w:before="0" w:after="0"/>
        <w:jc w:val="center"/>
      </w:pPr>
      <w:r>
        <w:rPr>
          <w:rFonts w:ascii="Times New Roman" w:hAnsi="Times New Roman"/>
          <w:b/>
          <w:i w:val="0"/>
          <w:sz w:val="24"/>
        </w:rPr>
        <w:t>Submitted To</w:t>
      </w:r>
    </w:p>
    <w:p>
      <w:pPr>
        <w:spacing w:line="360" w:lineRule="auto" w:before="0" w:after="0"/>
        <w:jc w:val="center"/>
      </w:pPr>
      <w:r>
        <w:rPr>
          <w:rFonts w:ascii="Times New Roman" w:hAnsi="Times New Roman"/>
          <w:b w:val="0"/>
          <w:i w:val="0"/>
          <w:sz w:val="24"/>
        </w:rPr>
        <w:t>Mohammed Mosharraf Hossain</w:t>
      </w:r>
    </w:p>
    <w:p>
      <w:pPr>
        <w:spacing w:line="360" w:lineRule="auto" w:before="0" w:after="0"/>
        <w:jc w:val="center"/>
      </w:pPr>
      <w:r>
        <w:rPr>
          <w:rFonts w:ascii="Times New Roman" w:hAnsi="Times New Roman"/>
          <w:b w:val="0"/>
          <w:i w:val="0"/>
          <w:sz w:val="24"/>
        </w:rPr>
        <w:t>Professor</w:t>
      </w:r>
    </w:p>
    <w:p>
      <w:pPr>
        <w:spacing w:line="360" w:lineRule="auto" w:before="0" w:after="0"/>
        <w:jc w:val="center"/>
      </w:pPr>
      <w:r>
        <w:rPr>
          <w:rFonts w:ascii="Times New Roman" w:hAnsi="Times New Roman"/>
          <w:b w:val="0"/>
          <w:i w:val="0"/>
          <w:sz w:val="24"/>
        </w:rPr>
        <w:t>Institute of Forestry and Environmental Sciences</w:t>
      </w:r>
    </w:p>
    <w:p>
      <w:pPr>
        <w:spacing w:line="360" w:lineRule="auto" w:before="0" w:after="0"/>
        <w:jc w:val="center"/>
      </w:pPr>
      <w:r>
        <w:rPr>
          <w:rFonts w:ascii="Times New Roman" w:hAnsi="Times New Roman"/>
          <w:b w:val="0"/>
          <w:i w:val="0"/>
          <w:sz w:val="24"/>
        </w:rPr>
        <w:t>University of Chittagong</w:t>
      </w:r>
    </w:p>
    <w:p>
      <w:r>
        <w:br w:type="page"/>
      </w:r>
    </w:p>
    <w:p>
      <w:pPr>
        <w:spacing w:line="360" w:lineRule="auto" w:before="0" w:after="0"/>
        <w:jc w:val="center"/>
      </w:pPr>
      <w:r>
        <w:rPr>
          <w:rFonts w:ascii="Times New Roman" w:hAnsi="Times New Roman"/>
          <w:b/>
          <w:i w:val="0"/>
          <w:sz w:val="24"/>
        </w:rPr>
        <w:t>Abstract</w:t>
      </w:r>
    </w:p>
    <w:p>
      <w:pPr>
        <w:spacing w:line="360" w:lineRule="auto" w:before="0" w:after="120"/>
        <w:jc w:val="both"/>
      </w:pPr>
      <w:r>
        <w:rPr>
          <w:rFonts w:ascii="Times New Roman" w:hAnsi="Times New Roman"/>
          <w:b w:val="0"/>
          <w:i w:val="0"/>
          <w:sz w:val="24"/>
        </w:rPr>
        <w:t>Bangladesh has pledged to generate 20 percent of its electricity from renewable sources by 2030, yet its domestic options are tightly constrained by land scarcity and an exhausted hydropower base of only 230 megawatts. Cross-border trade offers a complementary pathway, and in November 2024 Bangladesh became the first country to import Nepali hydropower through the Indian grid under a landmark tripartite arrangement. This term paper evaluates Bangladesh's hydropower import options from Nepal and India across three dimensions: economic competitiveness, transmission feasibility, and geopolitical and institutional risk. Drawing on policy documents, trade data, and peer-reviewed literature published between 2020 and 2026, the analysis finds that seasonal imports from Nepal are price-competitive with existing Indian imports and align well with Bangladesh's summer demand peak, but that their scale remains trivial against national targets. Larger options have faltered: India withheld approval for an additional 20 megawatts from Nepal citing transmission constraints, and Bangladesh cancelled its 500-megawatt agreement with the Upper Karnali project, undermining its credibility as a long-term offtaker. The paper concludes that hydropower imports can become a meaningful component of Bangladesh's renewable strategy only if the country secures dedicated transmission capacity, converts case-by-case Indian transit approvals into standing regional arrangements, restores offtake credibility, and pursues reservoir-based projects capable of delivering year-round firm power.</w:t>
      </w:r>
    </w:p>
    <w:p>
      <w:r>
        <w:br w:type="page"/>
      </w:r>
    </w:p>
    <w:p>
      <w:pPr>
        <w:spacing w:line="360" w:lineRule="auto" w:before="0" w:after="120"/>
        <w:jc w:val="left"/>
      </w:pPr>
      <w:r>
        <w:rPr>
          <w:rFonts w:ascii="Times New Roman" w:hAnsi="Times New Roman"/>
          <w:b/>
          <w:i w:val="0"/>
          <w:sz w:val="24"/>
        </w:rPr>
        <w:t>1. Introduction</w:t>
      </w:r>
    </w:p>
    <w:p>
      <w:pPr>
        <w:spacing w:line="360" w:lineRule="auto" w:before="0" w:after="120"/>
        <w:jc w:val="both"/>
      </w:pPr>
      <w:r>
        <w:rPr>
          <w:rFonts w:ascii="Times New Roman" w:hAnsi="Times New Roman"/>
          <w:b w:val="0"/>
          <w:i w:val="0"/>
          <w:sz w:val="24"/>
        </w:rPr>
        <w:t>Bangladesh's renewable energy transition faces a structural problem that domestic policy alone cannot solve. The Renewable Energy Policy 2025 commits the country to generating 20 percent of its electricity from renewable sources by 2030 and 30 percent by 2040, yet renewable capacity stood at only about 1,563 megawatts in mid-2025, and the land scarcity that constrains utility-scale solar leaves few domestic avenues for rapid expansion (Power Division, 2025; Alam, 2025). Domestic hydropower is effectively exhausted: the 230-megawatt Kaptai station, commissioned between 1962 and 1988, remains the country's only significant hydroelectric asset, and the flat deltaic terrain offers no comparable sites (Alam, 2025).</w:t>
      </w:r>
    </w:p>
    <w:p>
      <w:pPr>
        <w:spacing w:line="360" w:lineRule="auto" w:before="0" w:after="120"/>
        <w:jc w:val="both"/>
      </w:pPr>
      <w:r>
        <w:rPr>
          <w:rFonts w:ascii="Times New Roman" w:hAnsi="Times New Roman"/>
          <w:b w:val="0"/>
          <w:i w:val="0"/>
          <w:sz w:val="24"/>
        </w:rPr>
        <w:t>Bangladesh's neighbourhood, by contrast, is extraordinarily rich in undeveloped hydropower. Nepal alone possesses a theoretical potential of about 83,000 megawatts, of which roughly 43,000 megawatts are considered technically and economically feasible, while its domestic peak demand is only 2,000 to 2,200 megawatts (The Kathmandu Post, 2026b; Thakur et al., 2021). In November 2024, Bangladesh became the first third country to import Nepali hydropower across the Indian grid, opening a new chapter in South Asian energy cooperation (The Himalayan Times, 2024). This paper evaluates whether, and under what conditions, hydropower imports from Nepal and India can become a credible component of Bangladesh's renewable energy strategy, examining the rationale for imports, the regional resource base, the existing and proposed arrangements, and the economic, technical, and geopolitical considerations that will determine their success.</w:t>
      </w:r>
    </w:p>
    <w:p>
      <w:pPr>
        <w:spacing w:line="360" w:lineRule="auto" w:before="0" w:after="120"/>
        <w:jc w:val="left"/>
      </w:pPr>
      <w:r>
        <w:rPr>
          <w:rFonts w:ascii="Times New Roman" w:hAnsi="Times New Roman"/>
          <w:b/>
          <w:i w:val="0"/>
          <w:sz w:val="24"/>
        </w:rPr>
        <w:t>2. The Rationale for Cross-Border Renewable Imports</w:t>
      </w:r>
    </w:p>
    <w:p>
      <w:pPr>
        <w:spacing w:line="360" w:lineRule="auto" w:before="0" w:after="120"/>
        <w:jc w:val="left"/>
      </w:pPr>
      <w:r>
        <w:rPr>
          <w:rFonts w:ascii="Times New Roman" w:hAnsi="Times New Roman"/>
          <w:b/>
          <w:i w:val="0"/>
          <w:sz w:val="24"/>
        </w:rPr>
        <w:t>2.1 Domestic Constraints on Renewable Expansion</w:t>
      </w:r>
    </w:p>
    <w:p>
      <w:pPr>
        <w:spacing w:line="360" w:lineRule="auto" w:before="0" w:after="120"/>
        <w:jc w:val="both"/>
      </w:pPr>
      <w:r>
        <w:rPr>
          <w:rFonts w:ascii="Times New Roman" w:hAnsi="Times New Roman"/>
          <w:b w:val="0"/>
          <w:i w:val="0"/>
          <w:sz w:val="24"/>
        </w:rPr>
        <w:t>Bangladesh's renewable performance has consistently lagged its ambitions. Combined grid and off-grid renewable capacity of about 1,563 megawatts represents less than 6 percent of installed capacity, and even the country's best year on record, 2024, added only around 331 megawatts (Alam, 2025). Meeting the 20 percent target by 2030 would require roughly 750 megawatts of additions every year, a pace far beyond the current project pipeline (Alam, 2025). Because a single megawatt of ground-mounted solar requires several acres of land in one of the world's most densely populated countries, and because domestic hydropower cannot be expanded, imports of renewable electricity from hydropower-rich neighbours offer one of the few routes to closing the gap at scale (Jha et al., 2022).</w:t>
      </w:r>
    </w:p>
    <w:p>
      <w:pPr>
        <w:spacing w:line="360" w:lineRule="auto" w:before="0" w:after="120"/>
        <w:jc w:val="left"/>
      </w:pPr>
      <w:r>
        <w:rPr>
          <w:rFonts w:ascii="Times New Roman" w:hAnsi="Times New Roman"/>
          <w:b/>
          <w:i w:val="0"/>
          <w:sz w:val="24"/>
        </w:rPr>
        <w:t>2.2 Policy Recognition of Cross-Border Trade</w:t>
      </w:r>
    </w:p>
    <w:p>
      <w:pPr>
        <w:spacing w:line="360" w:lineRule="auto" w:before="0" w:after="120"/>
        <w:jc w:val="both"/>
      </w:pPr>
      <w:r>
        <w:rPr>
          <w:rFonts w:ascii="Times New Roman" w:hAnsi="Times New Roman"/>
          <w:b w:val="0"/>
          <w:i w:val="0"/>
          <w:sz w:val="24"/>
        </w:rPr>
        <w:t>National policy now explicitly embraces this logic. The Renewable Energy Policy 2025 devotes a dedicated section to regional cooperation and provides that the government may facilitate cross-border trading of renewable and clean energy with neighbouring countries through mutually agreed terms or as part of regional cooperation (Power Division, 2025). The Integrated Energy and Power Master Plan of 2023 goes further, planning electricity imports from Nepal and Bhutan and projecting that power imports will rise from about 6 percent of the generation mix to roughly 17 percent by 2041 (Ministry of Power, Energy and Mineral Resources, 2023). Independent analysts have likewise urged that the forthcoming Energy and Power Sector Master Plan incorporate regional renewable trade potential and the grid stability requirements that accompany it (Centre for Policy Dialogue, 2026).</w:t>
      </w:r>
    </w:p>
    <w:p>
      <w:pPr>
        <w:spacing w:line="360" w:lineRule="auto" w:before="0" w:after="120"/>
        <w:jc w:val="left"/>
      </w:pPr>
      <w:r>
        <w:rPr>
          <w:rFonts w:ascii="Times New Roman" w:hAnsi="Times New Roman"/>
          <w:b/>
          <w:i w:val="0"/>
          <w:sz w:val="24"/>
        </w:rPr>
        <w:t>3. Regional Hydropower Resources and Seasonal Complementarity</w:t>
      </w:r>
    </w:p>
    <w:p>
      <w:pPr>
        <w:spacing w:line="360" w:lineRule="auto" w:before="0" w:after="120"/>
        <w:jc w:val="left"/>
      </w:pPr>
      <w:r>
        <w:rPr>
          <w:rFonts w:ascii="Times New Roman" w:hAnsi="Times New Roman"/>
          <w:b/>
          <w:i w:val="0"/>
          <w:sz w:val="24"/>
        </w:rPr>
        <w:t>3.1 Nepal's Hydropower Endowment</w:t>
      </w:r>
    </w:p>
    <w:p>
      <w:pPr>
        <w:spacing w:line="360" w:lineRule="auto" w:before="0" w:after="120"/>
        <w:jc w:val="both"/>
      </w:pPr>
      <w:r>
        <w:rPr>
          <w:rFonts w:ascii="Times New Roman" w:hAnsi="Times New Roman"/>
          <w:b w:val="0"/>
          <w:i w:val="0"/>
          <w:sz w:val="24"/>
        </w:rPr>
        <w:t>Nepal is the pivotal supplier in any Bangladeshi import strategy. Against a feasible potential of roughly 43,000 megawatts, Nepal's installed capacity has reached only about 4,200 megawatts, while approximately 16,500 megawatts of proposed projects await power purchase agreements, reflecting a pipeline that far exceeds domestic need (The Kathmandu Post, 2026b). Because most Nepali plants are run-of-river designs, generation surges during the June-to-November monsoon and falls sharply in winter, producing a large seasonal surplus that Nepal must export or spill (Dhakal et al., 2021). Private sector observers emphasize that access to external markets, principally India and Bangladesh, is the decisive factor shaping investment in new Nepali capacity (Schulz &amp; Saklani, 2021).</w:t>
      </w:r>
    </w:p>
    <w:p>
      <w:pPr>
        <w:spacing w:line="360" w:lineRule="auto" w:before="0" w:after="120"/>
        <w:jc w:val="left"/>
      </w:pPr>
      <w:r>
        <w:rPr>
          <w:rFonts w:ascii="Times New Roman" w:hAnsi="Times New Roman"/>
          <w:b/>
          <w:i w:val="0"/>
          <w:sz w:val="24"/>
        </w:rPr>
        <w:t>3.2 India's Northeastern Hydropower and the Transit Corridor</w:t>
      </w:r>
    </w:p>
    <w:p>
      <w:pPr>
        <w:spacing w:line="360" w:lineRule="auto" w:before="0" w:after="120"/>
        <w:jc w:val="both"/>
      </w:pPr>
      <w:r>
        <w:rPr>
          <w:rFonts w:ascii="Times New Roman" w:hAnsi="Times New Roman"/>
          <w:b w:val="0"/>
          <w:i w:val="0"/>
          <w:sz w:val="24"/>
        </w:rPr>
        <w:t>India figures in Bangladesh's import strategy in two distinct roles. As a supplier, India's Northeastern Region, which directly borders Bangladesh, holds vast undeveloped hydropower and renewable reserves, and improving grid connectivity between that region and Bangladesh could allow future clean electricity purchases over far shorter distances than the Nepal route (Kharbanda, 2024). As a transit provider, India owns the only transmission corridors through which Nepali power can physically reach Bangladesh, since the two countries share no border and are separated by a narrow strip of Indian territory (NIICE Nepal, 2026). This dual role gives India a decisive positional advantage in the subregion's electricity trade, with the most developed transmission network and the regulatory authority over every cross-border flow (Thakur et al., 2021).</w:t>
      </w:r>
    </w:p>
    <w:p>
      <w:pPr>
        <w:spacing w:line="360" w:lineRule="auto" w:before="0" w:after="120"/>
        <w:jc w:val="left"/>
      </w:pPr>
      <w:r>
        <w:rPr>
          <w:rFonts w:ascii="Times New Roman" w:hAnsi="Times New Roman"/>
          <w:b/>
          <w:i w:val="0"/>
          <w:sz w:val="24"/>
        </w:rPr>
        <w:t>3.3 Seasonal Complementarity in the BBIN Subregion</w:t>
      </w:r>
    </w:p>
    <w:p>
      <w:pPr>
        <w:spacing w:line="360" w:lineRule="auto" w:before="0" w:after="120"/>
        <w:jc w:val="both"/>
      </w:pPr>
      <w:r>
        <w:rPr>
          <w:rFonts w:ascii="Times New Roman" w:hAnsi="Times New Roman"/>
          <w:b w:val="0"/>
          <w:i w:val="0"/>
          <w:sz w:val="24"/>
        </w:rPr>
        <w:t>The Bangladesh, Bhutan, India, and Nepal (BBIN) subregion exhibits demand and supply patterns that are strikingly complementary. Nepal's monsoon surplus coincides with Bangladesh's summer demand peak, while Nepal's winter deficit coincides with the season in which Bangladesh's demand falls sharply, meaning seasonal trade allows each system to cover the other's weakness (Kharbanda, 2024). Feasibility studies of cross-border electricity trade in the subregion report benefit-to-cost ratios ranging from 3.7 to 102 for hydropower development in Nepal and Bhutan, and modelling suggests that regional power integration could cut cumulative carbon dioxide emissions by around 8 percent between 2015 and 2040 (Thakur et al., 2021). More recent scenario analysis confirms that expanded cross-border trade materially accelerates renewable energy proliferation across South Asia (Jha et al., 2022; Jha et al., 2025).</w:t>
      </w:r>
    </w:p>
    <w:p>
      <w:pPr>
        <w:spacing w:line="360" w:lineRule="auto" w:before="0" w:after="120"/>
        <w:jc w:val="left"/>
      </w:pPr>
      <w:r>
        <w:rPr>
          <w:rFonts w:ascii="Times New Roman" w:hAnsi="Times New Roman"/>
          <w:b/>
          <w:i w:val="0"/>
          <w:sz w:val="24"/>
        </w:rPr>
        <w:t>4. Current and Emerging Import Arrangements</w:t>
      </w:r>
    </w:p>
    <w:p>
      <w:pPr>
        <w:spacing w:line="360" w:lineRule="auto" w:before="0" w:after="120"/>
        <w:jc w:val="left"/>
      </w:pPr>
      <w:r>
        <w:rPr>
          <w:rFonts w:ascii="Times New Roman" w:hAnsi="Times New Roman"/>
          <w:b/>
          <w:i w:val="0"/>
          <w:sz w:val="24"/>
        </w:rPr>
        <w:t>4.1 Existing Imports from India</w:t>
      </w:r>
    </w:p>
    <w:p>
      <w:pPr>
        <w:spacing w:line="360" w:lineRule="auto" w:before="0" w:after="120"/>
        <w:jc w:val="both"/>
      </w:pPr>
      <w:r>
        <w:rPr>
          <w:rFonts w:ascii="Times New Roman" w:hAnsi="Times New Roman"/>
          <w:b w:val="0"/>
          <w:i w:val="0"/>
          <w:sz w:val="24"/>
        </w:rPr>
        <w:t>Bangladesh already relies heavily on imported electricity, holding agreements for up to 2,656 megawatts from India alongside the 40 megawatts from Nepal (Daily New Nation, 2026). Of this, 1,160 megawatts flow through five arrangements, including 250 megawatts from an NTPC plant, 300 megawatts from the Damodar Valley Corporation, 160 megawatts through the Tripura corridor, and 450 megawatts from Sembcorp plants, while a further 1,496 megawatts come from Adani Power's dedicated coal-fired Godda plant in Jharkhand (The Business Standard, 2026). These imports, however, are overwhelmingly fossil-based and therefore contribute nothing to renewable targets. They have also proven commercially problematic: Adani remained Bangladesh's most expensive import source in fiscal year 2024–25, the weighted average import tariff rose to 7.14 taka per unit, and a payment dispute over the Godda power purchase agreement has proceeded to arbitration in Singapore after Adani halved supply in November 2024 over unpaid dues (Daily New Nation, 2026; The Financial Express, 2026). The Indian import experience thus offers both the transmission infrastructure on which renewable imports can build and a cautionary lesson about contract design and payment discipline.</w:t>
      </w:r>
    </w:p>
    <w:p>
      <w:pPr>
        <w:spacing w:line="360" w:lineRule="auto" w:before="0" w:after="120"/>
        <w:jc w:val="left"/>
      </w:pPr>
      <w:r>
        <w:rPr>
          <w:rFonts w:ascii="Times New Roman" w:hAnsi="Times New Roman"/>
          <w:b/>
          <w:i w:val="0"/>
          <w:sz w:val="24"/>
        </w:rPr>
        <w:t>4.2 The Nepal Tripartite Arrangement</w:t>
      </w:r>
    </w:p>
    <w:p>
      <w:pPr>
        <w:spacing w:line="360" w:lineRule="auto" w:before="0" w:after="120"/>
        <w:jc w:val="both"/>
      </w:pPr>
      <w:r>
        <w:rPr>
          <w:rFonts w:ascii="Times New Roman" w:hAnsi="Times New Roman"/>
          <w:b w:val="0"/>
          <w:i w:val="0"/>
          <w:sz w:val="24"/>
        </w:rPr>
        <w:t>The breakthrough for renewable imports came through a trilateral framework. Following an agreement in principle at the Nepal–India Joint Steering Committee in January 2024, the Nepal Electricity Authority, the Bangladesh Power Development Board, and India's NTPC Vidyut Vyapar Nigam signed a five-year tripartite power sales agreement on 3 October 2024, and the first Nepali electricity flowed to Bangladesh on 15 November 2024 (The Kathmandu Post, 2026a; The Himalayan Times, 2024). Under the arrangement, 40 megawatts generated by the Trishuli and Chilime hydropower stations travel through the 400-kilovolt Dhalkebar–Muzaffarpur line into India and onward through the 400-kilovolt Baharampur–Bheramara interconnector into Bangladesh each year between 15 June and 15 November, the monsoon window of Nepali surplus (South Asian Desk, 2026). Bangladesh pays 6.40 United States cents per kilowatt-hour at the Muzaffarpur metering point, plus Indian wheeling charges, downstream losses, and a trading margin, bringing the effective cost to roughly 7.6 cents per unit (South Asian Desk, 2026; Institute of South Asian Studies, 2024).</w:t>
      </w:r>
    </w:p>
    <w:p>
      <w:pPr>
        <w:spacing w:line="360" w:lineRule="auto" w:before="0" w:after="120"/>
        <w:jc w:val="left"/>
      </w:pPr>
      <w:r>
        <w:rPr>
          <w:rFonts w:ascii="Times New Roman" w:hAnsi="Times New Roman"/>
          <w:b/>
          <w:i w:val="0"/>
          <w:sz w:val="24"/>
        </w:rPr>
        <w:t>4.3 Scaling Attempts and Setbacks</w:t>
      </w:r>
    </w:p>
    <w:p>
      <w:pPr>
        <w:spacing w:line="360" w:lineRule="auto" w:before="0" w:after="120"/>
        <w:jc w:val="both"/>
      </w:pPr>
      <w:r>
        <w:rPr>
          <w:rFonts w:ascii="Times New Roman" w:hAnsi="Times New Roman"/>
          <w:b w:val="0"/>
          <w:i w:val="0"/>
          <w:sz w:val="24"/>
        </w:rPr>
        <w:t>Efforts to scale the model have run into difficulty on both sides. Nepal and Bangladesh agreed in November 2025 to raise the seasonal volume to 60 megawatts, but India's Central Electricity Authority declined to approve the additional 20 megawatts, citing transmission capacity constraints, so the second export season opened in June 2026 at the original 40 megawatts (The Kathmandu Post, 2026a; NIICE Nepal, 2026). A far larger option collapsed entirely: after years of negotiation, a tripartite power supply agreement for 500 megawatts from the 900-megawatt GMR Upper Karnali project was initialled on 5 December 2024, only for Bangladesh's interim government to cancel it as part of its blanket revocation of deals concluded under the former Special Power Act (The Kathmandu Post, 2025; Fiscal Nepal, 2025). The physical constraint is equally binding. The Bheramara high-voltage direct current station, the only major interconnector, has a nominal daily capacity of about 1,000 megawatts and already operates near saturation with Indian imports, leaving little headroom for additional Nepali power without new infrastructure (Kharbanda, 2024).</w:t>
      </w:r>
    </w:p>
    <w:p>
      <w:pPr>
        <w:spacing w:line="360" w:lineRule="auto" w:before="0" w:after="120"/>
        <w:jc w:val="left"/>
      </w:pPr>
      <w:r>
        <w:rPr>
          <w:rFonts w:ascii="Times New Roman" w:hAnsi="Times New Roman"/>
          <w:b/>
          <w:i w:val="0"/>
          <w:sz w:val="24"/>
        </w:rPr>
        <w:t>5. Evaluating the Import Options</w:t>
      </w:r>
    </w:p>
    <w:p>
      <w:pPr>
        <w:spacing w:line="360" w:lineRule="auto" w:before="0" w:after="120"/>
        <w:jc w:val="left"/>
      </w:pPr>
      <w:r>
        <w:rPr>
          <w:rFonts w:ascii="Times New Roman" w:hAnsi="Times New Roman"/>
          <w:b/>
          <w:i w:val="0"/>
          <w:sz w:val="24"/>
        </w:rPr>
        <w:t>5.1 Economic Competitiveness</w:t>
      </w:r>
    </w:p>
    <w:p>
      <w:pPr>
        <w:spacing w:line="360" w:lineRule="auto" w:before="0" w:after="120"/>
        <w:jc w:val="both"/>
      </w:pPr>
      <w:r>
        <w:rPr>
          <w:rFonts w:ascii="Times New Roman" w:hAnsi="Times New Roman"/>
          <w:b w:val="0"/>
          <w:i w:val="0"/>
          <w:sz w:val="24"/>
        </w:rPr>
        <w:t>On price, seasonal Nepali hydropower compares favourably with Bangladesh's existing import portfolio. The effective delivered cost of roughly 7.6 United States cents per unit sits close to the weighted average Indian import tariff and well below the tariffs paid to Adani's coal-fired supply, while avoiding the capacity payments that burden idle domestic plants because Bangladesh pays only for energy actually delivered during the contracted season (South Asian Desk, 2026; Daily New Nation, 2026). Hydropower imports also carry no fuel price risk, unlike coal- and gas-indexed contracts whose costs fluctuate with international markets (The Financial Express, 2026). The principal economic caveats are that payments are denominated in United States dollars, exposing purchases to the foreign exchange pressures that produced the Adani arrears, and that the trilateral structure layers Indian wheeling charges, losses, and trading margins onto the Nepali generation price (Institute of South Asian Studies, 2024).</w:t>
      </w:r>
    </w:p>
    <w:p>
      <w:pPr>
        <w:spacing w:line="360" w:lineRule="auto" w:before="0" w:after="120"/>
        <w:jc w:val="left"/>
      </w:pPr>
      <w:r>
        <w:rPr>
          <w:rFonts w:ascii="Times New Roman" w:hAnsi="Times New Roman"/>
          <w:b/>
          <w:i w:val="0"/>
          <w:sz w:val="24"/>
        </w:rPr>
        <w:t>5.2 Transmission and Technical Feasibility</w:t>
      </w:r>
    </w:p>
    <w:p>
      <w:pPr>
        <w:spacing w:line="360" w:lineRule="auto" w:before="0" w:after="120"/>
        <w:jc w:val="both"/>
      </w:pPr>
      <w:r>
        <w:rPr>
          <w:rFonts w:ascii="Times New Roman" w:hAnsi="Times New Roman"/>
          <w:b w:val="0"/>
          <w:i w:val="0"/>
          <w:sz w:val="24"/>
        </w:rPr>
        <w:t>The binding physical constraint on every import option is transmission. All power from Nepal must transit Indian territory, since the two countries are separated by a narrow strip of Indian land, and the existing Dhalkebar–Muzaffarpur and Baharampur–Bheramara corridors are the only operational route (NIICE Nepal, 2026). India's refusal of even a 20-megawatt increment demonstrates how quickly this route saturates, and meaningful scale-up therefore depends on new infrastructure, including proposed high-capacity cross-border corridors linking the subregion's grids and an expansion of Bangladesh's interconnection capacity (Kharbanda, 2024). A second technical limitation is seasonality: run-of-river exports arrive only during the monsoon, so imports currently provide energy but not year-round firm capacity, a gap that only reservoir-based projects in Nepal or coordinated storage investment can close (The Kathmandu Post, 2026b; Dhakal et al., 2021).</w:t>
      </w:r>
    </w:p>
    <w:p>
      <w:pPr>
        <w:spacing w:line="360" w:lineRule="auto" w:before="0" w:after="120"/>
        <w:jc w:val="left"/>
      </w:pPr>
      <w:r>
        <w:rPr>
          <w:rFonts w:ascii="Times New Roman" w:hAnsi="Times New Roman"/>
          <w:b/>
          <w:i w:val="0"/>
          <w:sz w:val="24"/>
        </w:rPr>
        <w:t>5.3 Geopolitical and Institutional Risk</w:t>
      </w:r>
    </w:p>
    <w:p>
      <w:pPr>
        <w:spacing w:line="360" w:lineRule="auto" w:before="0" w:after="120"/>
        <w:jc w:val="both"/>
      </w:pPr>
      <w:r>
        <w:rPr>
          <w:rFonts w:ascii="Times New Roman" w:hAnsi="Times New Roman"/>
          <w:b w:val="0"/>
          <w:i w:val="0"/>
          <w:sz w:val="24"/>
        </w:rPr>
        <w:t>The deepest risks are institutional. Because both the physical conduit and the regulatory approval are Indian, what participants describe as a trilateral trade operates in practice as a bilateral exchange that India administers, with New Delhi able to enable, restrict, or halt flows at will under its cross-border electricity trade guidelines (NIICE Nepal, 2026). Stakeholder analyses consistently identify this transit dependence, together with regulatory divergence among the BBIN countries, as the principal barrier to regional trade (Dhakal et al., 2021; Kharbanda, 2024). Bangladesh has compounded the problem from its own side: the cancellation of the Upper Karnali agreement, whatever its governance justification, signalled to developers and lenders that Bangladeshi offtake commitments can be withdrawn, raising the risk premium on every future project seeking finance against a Bangladeshi power sales agreement (Fiscal Nepal, 2025; The Kathmandu Post, 2025).</w:t>
      </w:r>
    </w:p>
    <w:p>
      <w:pPr>
        <w:spacing w:line="360" w:lineRule="auto" w:before="0" w:after="120"/>
        <w:jc w:val="left"/>
      </w:pPr>
      <w:r>
        <w:rPr>
          <w:rFonts w:ascii="Times New Roman" w:hAnsi="Times New Roman"/>
          <w:b/>
          <w:i w:val="0"/>
          <w:sz w:val="24"/>
        </w:rPr>
        <w:t>6. Discussion</w:t>
      </w:r>
    </w:p>
    <w:p>
      <w:pPr>
        <w:spacing w:line="360" w:lineRule="auto" w:before="0" w:after="120"/>
        <w:jc w:val="both"/>
      </w:pPr>
      <w:r>
        <w:rPr>
          <w:rFonts w:ascii="Times New Roman" w:hAnsi="Times New Roman"/>
          <w:b w:val="0"/>
          <w:i w:val="0"/>
          <w:sz w:val="24"/>
        </w:rPr>
        <w:t>The evaluation suggests a clear hierarchy among Bangladesh's import options. The proven option, seasonal purchases through the existing tripartite framework, is economically sound and administratively established but physically capped at trivial volumes; even the proposed 60 megawatts would represent less than 1 percent of the roughly 6,145 megawatts of renewable capacity Bangladesh needs by 2030 (Alam, 2025; South Asian Desk, 2026). The transformative option, long-term contracts with large dedicated projects such as Upper Karnali, offers hundreds of megawatts of clean energy per project but demands precisely what recent events have undermined: credible multi-decade offtake commitments, Indian transit cooperation, and dedicated transmission corridors (The Kathmandu Post, 2025). An intermediate path, joint equity investment in Nepali generation, has attracted Bangladeshi interest and would align incentives between buyer and producer, though it remains at a preliminary stage (Fiscal Nepal, 2025).</w:t>
      </w:r>
    </w:p>
    <w:p>
      <w:pPr>
        <w:spacing w:line="360" w:lineRule="auto" w:before="0" w:after="120"/>
        <w:jc w:val="both"/>
      </w:pPr>
      <w:r>
        <w:rPr>
          <w:rFonts w:ascii="Times New Roman" w:hAnsi="Times New Roman"/>
          <w:b w:val="0"/>
          <w:i w:val="0"/>
          <w:sz w:val="24"/>
        </w:rPr>
        <w:t>Two broader lessons emerge. First, imports complement rather than substitute for domestic deployment: hydropower purchases can green the import share that the national master plan already projects to reach 17 percent of the mix by 2041, but they cannot deliver the domestic solar build-out on which the 2030 target chiefly depends (Ministry of Power, Energy and Mineral Resources, 2023). Second, the economics of regional trade are favourable and well documented, so the constraint is not viability but governance, in particular the absence of a standing multilateral framework that would convert each incremental megawatt from a diplomatic negotiation into a routine market transaction (Thakur et al., 2021; Jha et al., 2025). The contrast with the fossil-based Indian import experience is instructive here: bilateral contracts concluded without competitive scrutiny produced the region's most expensive electricity and an international arbitration, whereas the openly negotiated tripartite hydropower arrangement has delivered competitively priced clean energy without dispute (Daily New Nation, 2026; The Financial Express, 2026).</w:t>
      </w:r>
    </w:p>
    <w:p>
      <w:pPr>
        <w:spacing w:line="360" w:lineRule="auto" w:before="0" w:after="120"/>
        <w:jc w:val="left"/>
      </w:pPr>
      <w:r>
        <w:rPr>
          <w:rFonts w:ascii="Times New Roman" w:hAnsi="Times New Roman"/>
          <w:b/>
          <w:i w:val="0"/>
          <w:sz w:val="24"/>
        </w:rPr>
        <w:t>7. Recommendations</w:t>
      </w:r>
    </w:p>
    <w:p>
      <w:pPr>
        <w:spacing w:line="360" w:lineRule="auto" w:before="0" w:after="120"/>
        <w:jc w:val="both"/>
      </w:pPr>
      <w:r>
        <w:rPr>
          <w:rFonts w:ascii="Times New Roman" w:hAnsi="Times New Roman"/>
          <w:b w:val="0"/>
          <w:i w:val="0"/>
          <w:sz w:val="24"/>
        </w:rPr>
        <w:t>Five measures follow from the analysis. First, Bangladesh should work with Nepal and India to convert case-by-case transit approvals into a standing regional trading arrangement, building on proposals for a cost-based subregional electricity market so that volume increases no longer require fresh trilateral agreements and regulatory clearances for every increment (Thakur et al., 2021; Kharbanda, 2024). Second, transmission expansion should be treated as the strategic priority, through upgrading the Bheramara interconnection and advancing the proposed high-capacity cross-border corridors, since no contractual progress can outrun the physical limits of a single saturated line (Kharbanda, 2024). Third, Bangladesh should restore its credibility as an offtaker by replacing cancelled agreements with transparent, competitively negotiated long-term power sales agreements and by maintaining payment discipline, drawing on the lessons of the Adani dispute (Fiscal Nepal, 2025; The Financial Express, 2026). Fourth, future contracts should prioritize reservoir-based Nepali projects and joint equity stakes that can deliver firm year-round power rather than monsoon-only energy (The Kathmandu Post, 2026b; Schulz &amp; Saklani, 2021). Finally, imported hydropower should be formally integrated into national renewable accounting and planning under the Renewable Energy Policy 2025, so that cross-border purchases are credited transparently toward the 2030 and 2040 targets (Power Division, 2025).</w:t>
      </w:r>
    </w:p>
    <w:p>
      <w:pPr>
        <w:spacing w:line="360" w:lineRule="auto" w:before="0" w:after="120"/>
        <w:jc w:val="left"/>
      </w:pPr>
      <w:r>
        <w:rPr>
          <w:rFonts w:ascii="Times New Roman" w:hAnsi="Times New Roman"/>
          <w:b/>
          <w:i w:val="0"/>
          <w:sz w:val="24"/>
        </w:rPr>
        <w:t>8. Conclusion</w:t>
      </w:r>
    </w:p>
    <w:p>
      <w:pPr>
        <w:spacing w:line="360" w:lineRule="auto" w:before="0" w:after="120"/>
        <w:jc w:val="both"/>
      </w:pPr>
      <w:r>
        <w:rPr>
          <w:rFonts w:ascii="Times New Roman" w:hAnsi="Times New Roman"/>
          <w:b w:val="0"/>
          <w:i w:val="0"/>
          <w:sz w:val="24"/>
        </w:rPr>
        <w:t>Cross-border hydropower trade offers Bangladesh something its own geography cannot: access to large volumes of clean, storable, seasonally well-matched renewable electricity. The tripartite arrangement with Nepal and India has proven that the model works technically, commercially, and diplomatically, and national policy now explicitly anticipates a growing import share within the generation mix. Yet the evaluation in this paper shows that the current trajectory falls far short of the opportunity. Forty seasonal megawatts are symbolically important but materially negligible, the sole interconnector is nearly saturated, India retains unilateral control over every incremental flow, and Bangladesh's cancellation of the Upper Karnali agreement has weakened the very credibility on which large-scale imports depend. Hydropower imports from Nepal and India can become a meaningful pillar of Bangladesh's renewable strategy, but only if the country invests in dedicated transmission, institutionalizes regional trade rules, honours its contractual commitments, and targets projects capable of firm year-round supply. The deeper lesson is regional: South Asia's clean energy transition will be built as much on transmission lines and trust as on turbines and reservoirs.</w:t>
      </w:r>
    </w:p>
    <w:p>
      <w:pPr>
        <w:spacing w:line="360" w:lineRule="auto" w:before="0" w:after="120"/>
        <w:jc w:val="left"/>
      </w:pPr>
      <w:r>
        <w:rPr>
          <w:rFonts w:ascii="Times New Roman" w:hAnsi="Times New Roman"/>
          <w:b/>
          <w:i w:val="0"/>
          <w:sz w:val="24"/>
        </w:rPr>
        <w:t>References</w:t>
      </w:r>
    </w:p>
    <w:p>
      <w:pPr>
        <w:spacing w:line="360" w:lineRule="auto" w:before="0" w:after="120"/>
        <w:ind w:left="720" w:hanging="720"/>
        <w:jc w:val="left"/>
      </w:pPr>
      <w:r>
        <w:rPr>
          <w:rFonts w:ascii="Times New Roman" w:hAnsi="Times New Roman"/>
          <w:i w:val="0"/>
          <w:sz w:val="24"/>
        </w:rPr>
        <w:t xml:space="preserve">Alam, S. (2025). </w:t>
      </w:r>
      <w:r>
        <w:rPr>
          <w:rFonts w:ascii="Times New Roman" w:hAnsi="Times New Roman"/>
          <w:i/>
          <w:sz w:val="24"/>
        </w:rPr>
        <w:t>New year, same goal: Bangladesh needs to clear existing roadblocks to clean energy.</w:t>
      </w:r>
      <w:r>
        <w:rPr>
          <w:rFonts w:ascii="Times New Roman" w:hAnsi="Times New Roman"/>
          <w:i w:val="0"/>
          <w:sz w:val="24"/>
        </w:rPr>
        <w:t xml:space="preserve"> Institute for Energy Economics and Financial Analysis. https://ieefa.org/resources/new-year-same-goal-bangladesh-needs-clear-existing-roadblocks-clean-energy</w:t>
      </w:r>
    </w:p>
    <w:p>
      <w:pPr>
        <w:spacing w:line="360" w:lineRule="auto" w:before="0" w:after="120"/>
        <w:ind w:left="720" w:hanging="720"/>
        <w:jc w:val="left"/>
      </w:pPr>
      <w:r>
        <w:rPr>
          <w:rFonts w:ascii="Times New Roman" w:hAnsi="Times New Roman"/>
          <w:i w:val="0"/>
          <w:sz w:val="24"/>
        </w:rPr>
        <w:t xml:space="preserve">Centre for Policy Dialogue. (2026). </w:t>
      </w:r>
      <w:r>
        <w:rPr>
          <w:rFonts w:ascii="Times New Roman" w:hAnsi="Times New Roman"/>
          <w:i/>
          <w:sz w:val="24"/>
        </w:rPr>
        <w:t>Interim government's Energy and Power Sector Master Plan (EPSMP): 2026–2050</w:t>
      </w:r>
      <w:r>
        <w:rPr>
          <w:rFonts w:ascii="Times New Roman" w:hAnsi="Times New Roman"/>
          <w:i w:val="0"/>
          <w:sz w:val="24"/>
        </w:rPr>
        <w:t xml:space="preserve"> [Presentation]. https://cpd.org.bd/resources/2026/01/Presentation_Interim-Governments-EPSMP.pdf</w:t>
      </w:r>
    </w:p>
    <w:p>
      <w:pPr>
        <w:spacing w:line="360" w:lineRule="auto" w:before="0" w:after="120"/>
        <w:ind w:left="720" w:hanging="720"/>
        <w:jc w:val="left"/>
      </w:pPr>
      <w:r>
        <w:rPr>
          <w:rFonts w:ascii="Times New Roman" w:hAnsi="Times New Roman"/>
          <w:i w:val="0"/>
          <w:sz w:val="24"/>
        </w:rPr>
        <w:t xml:space="preserve">Daily New Nation. (2026). </w:t>
      </w:r>
      <w:r>
        <w:rPr>
          <w:rFonts w:ascii="Times New Roman" w:hAnsi="Times New Roman"/>
          <w:i/>
          <w:sz w:val="24"/>
        </w:rPr>
        <w:t>Adani keeps grip as costliest import.</w:t>
      </w:r>
      <w:r>
        <w:rPr>
          <w:rFonts w:ascii="Times New Roman" w:hAnsi="Times New Roman"/>
          <w:i w:val="0"/>
          <w:sz w:val="24"/>
        </w:rPr>
        <w:t xml:space="preserve"> https://dailynewnation.com/news/843557</w:t>
      </w:r>
    </w:p>
    <w:p>
      <w:pPr>
        <w:spacing w:line="360" w:lineRule="auto" w:before="0" w:after="120"/>
        <w:ind w:left="720" w:hanging="720"/>
        <w:jc w:val="left"/>
      </w:pPr>
      <w:r>
        <w:rPr>
          <w:rFonts w:ascii="Times New Roman" w:hAnsi="Times New Roman"/>
          <w:i w:val="0"/>
          <w:sz w:val="24"/>
        </w:rPr>
        <w:t xml:space="preserve">Dhakal, S., Karki, P., &amp; Shrestha, S. (2021). Cross-border electricity trade for Nepal: A SWOT-AHP analysis of barriers and opportunities based on stakeholders' perception. </w:t>
      </w:r>
      <w:r>
        <w:rPr>
          <w:rFonts w:ascii="Times New Roman" w:hAnsi="Times New Roman"/>
          <w:i/>
          <w:sz w:val="24"/>
        </w:rPr>
        <w:t>International Journal of Water Resources Development, 37</w:t>
      </w:r>
      <w:r>
        <w:rPr>
          <w:rFonts w:ascii="Times New Roman" w:hAnsi="Times New Roman"/>
          <w:i w:val="0"/>
          <w:sz w:val="24"/>
        </w:rPr>
        <w:t>(3), 559–580. https://doi.org/10.1080/07900627.2019.1648240</w:t>
      </w:r>
    </w:p>
    <w:p>
      <w:pPr>
        <w:spacing w:line="360" w:lineRule="auto" w:before="0" w:after="120"/>
        <w:ind w:left="720" w:hanging="720"/>
        <w:jc w:val="left"/>
      </w:pPr>
      <w:r>
        <w:rPr>
          <w:rFonts w:ascii="Times New Roman" w:hAnsi="Times New Roman"/>
          <w:i w:val="0"/>
          <w:sz w:val="24"/>
        </w:rPr>
        <w:t xml:space="preserve">Fiscal Nepal. (2025, June 26). </w:t>
      </w:r>
      <w:r>
        <w:rPr>
          <w:rFonts w:ascii="Times New Roman" w:hAnsi="Times New Roman"/>
          <w:i/>
          <w:sz w:val="24"/>
        </w:rPr>
        <w:t>Uncertainty looms over 500 MW electricity export to Bangladesh from Upper Karnali Hydro.</w:t>
      </w:r>
      <w:r>
        <w:rPr>
          <w:rFonts w:ascii="Times New Roman" w:hAnsi="Times New Roman"/>
          <w:i w:val="0"/>
          <w:sz w:val="24"/>
        </w:rPr>
        <w:t xml:space="preserve"> https://www.fiscalnepal.com/2025/06/26/20963/uncertainty-looms-over-500-mw-electricity-export-to-bangladesh-from-upper-karnali-hydro/</w:t>
      </w:r>
    </w:p>
    <w:p>
      <w:pPr>
        <w:spacing w:line="360" w:lineRule="auto" w:before="0" w:after="120"/>
        <w:ind w:left="720" w:hanging="720"/>
        <w:jc w:val="left"/>
      </w:pPr>
      <w:r>
        <w:rPr>
          <w:rFonts w:ascii="Times New Roman" w:hAnsi="Times New Roman"/>
          <w:i w:val="0"/>
          <w:sz w:val="24"/>
        </w:rPr>
        <w:t xml:space="preserve">Institute of South Asian Studies. (2024). </w:t>
      </w:r>
      <w:r>
        <w:rPr>
          <w:rFonts w:ascii="Times New Roman" w:hAnsi="Times New Roman"/>
          <w:i/>
          <w:sz w:val="24"/>
        </w:rPr>
        <w:t>Tripartite pact on electricity trade: Climate challenges remain.</w:t>
      </w:r>
      <w:r>
        <w:rPr>
          <w:rFonts w:ascii="Times New Roman" w:hAnsi="Times New Roman"/>
          <w:i w:val="0"/>
          <w:sz w:val="24"/>
        </w:rPr>
        <w:t xml:space="preserve"> National University of Singapore. https://www.isas.nus.edu.sg/papers/tripartite-pact-on-electricity-trade-climate-challenges-remain/</w:t>
      </w:r>
    </w:p>
    <w:p>
      <w:pPr>
        <w:spacing w:line="360" w:lineRule="auto" w:before="0" w:after="120"/>
        <w:ind w:left="720" w:hanging="720"/>
        <w:jc w:val="left"/>
      </w:pPr>
      <w:r>
        <w:rPr>
          <w:rFonts w:ascii="Times New Roman" w:hAnsi="Times New Roman"/>
          <w:i w:val="0"/>
          <w:sz w:val="24"/>
        </w:rPr>
        <w:t xml:space="preserve">Jha, A. P., Mahajan, A., Sheetal, &amp; Singh, S. K. (2025). Cross-border energy trade between India and South Asian countries: Current dynamics and future scenarios. </w:t>
      </w:r>
      <w:r>
        <w:rPr>
          <w:rFonts w:ascii="Times New Roman" w:hAnsi="Times New Roman"/>
          <w:i/>
          <w:sz w:val="24"/>
        </w:rPr>
        <w:t>Energy, 340</w:t>
      </w:r>
      <w:r>
        <w:rPr>
          <w:rFonts w:ascii="Times New Roman" w:hAnsi="Times New Roman"/>
          <w:i w:val="0"/>
          <w:sz w:val="24"/>
        </w:rPr>
        <w:t>, Article 139239. https://doi.org/10.1016/j.energy.2025.139239</w:t>
      </w:r>
    </w:p>
    <w:p>
      <w:pPr>
        <w:spacing w:line="360" w:lineRule="auto" w:before="0" w:after="120"/>
        <w:ind w:left="720" w:hanging="720"/>
        <w:jc w:val="left"/>
      </w:pPr>
      <w:r>
        <w:rPr>
          <w:rFonts w:ascii="Times New Roman" w:hAnsi="Times New Roman"/>
          <w:i w:val="0"/>
          <w:sz w:val="24"/>
        </w:rPr>
        <w:t xml:space="preserve">Jha, A. P., Mahajan, A., Singh, S. K., &amp; Kumar, P. (2022). Renewable energy proliferation for sustainable development: Role of cross-border electricity trade. </w:t>
      </w:r>
      <w:r>
        <w:rPr>
          <w:rFonts w:ascii="Times New Roman" w:hAnsi="Times New Roman"/>
          <w:i/>
          <w:sz w:val="24"/>
        </w:rPr>
        <w:t>Renewable Energy, 201</w:t>
      </w:r>
      <w:r>
        <w:rPr>
          <w:rFonts w:ascii="Times New Roman" w:hAnsi="Times New Roman"/>
          <w:i w:val="0"/>
          <w:sz w:val="24"/>
        </w:rPr>
        <w:t>, 1189–1199. https://doi.org/10.1016/j.renene.2022.11.046</w:t>
      </w:r>
    </w:p>
    <w:p>
      <w:pPr>
        <w:spacing w:line="360" w:lineRule="auto" w:before="0" w:after="120"/>
        <w:ind w:left="720" w:hanging="720"/>
        <w:jc w:val="left"/>
      </w:pPr>
      <w:r>
        <w:rPr>
          <w:rFonts w:ascii="Times New Roman" w:hAnsi="Times New Roman"/>
          <w:i w:val="0"/>
          <w:sz w:val="24"/>
        </w:rPr>
        <w:t xml:space="preserve">Kharbanda, V. (2024). </w:t>
      </w:r>
      <w:r>
        <w:rPr>
          <w:rFonts w:ascii="Times New Roman" w:hAnsi="Times New Roman"/>
          <w:i/>
          <w:sz w:val="24"/>
        </w:rPr>
        <w:t>Improving energy connectivity in the BBIN subregion with specific focus on the Northeastern Region (NER) of India</w:t>
      </w:r>
      <w:r>
        <w:rPr>
          <w:rFonts w:ascii="Times New Roman" w:hAnsi="Times New Roman"/>
          <w:i w:val="0"/>
          <w:sz w:val="24"/>
        </w:rPr>
        <w:t xml:space="preserve"> (Development Paper 24-02). United Nations Economic and Social Commission for Asia and the Pacific, South and South-West Asia Office. https://repository.unescap.org/handle/20.500.12870/6841</w:t>
      </w:r>
    </w:p>
    <w:p>
      <w:pPr>
        <w:spacing w:line="360" w:lineRule="auto" w:before="0" w:after="120"/>
        <w:ind w:left="720" w:hanging="720"/>
        <w:jc w:val="left"/>
      </w:pPr>
      <w:r>
        <w:rPr>
          <w:rFonts w:ascii="Times New Roman" w:hAnsi="Times New Roman"/>
          <w:i w:val="0"/>
          <w:sz w:val="24"/>
        </w:rPr>
        <w:t xml:space="preserve">Ministry of Power, Energy and Mineral Resources. (2023). </w:t>
      </w:r>
      <w:r>
        <w:rPr>
          <w:rFonts w:ascii="Times New Roman" w:hAnsi="Times New Roman"/>
          <w:i/>
          <w:sz w:val="24"/>
        </w:rPr>
        <w:t>Integrated Energy and Power Master Plan (IEPMP 2023).</w:t>
      </w:r>
      <w:r>
        <w:rPr>
          <w:rFonts w:ascii="Times New Roman" w:hAnsi="Times New Roman"/>
          <w:i w:val="0"/>
          <w:sz w:val="24"/>
        </w:rPr>
        <w:t xml:space="preserve"> Government of the People's Republic of Bangladesh.</w:t>
      </w:r>
    </w:p>
    <w:p>
      <w:pPr>
        <w:spacing w:line="360" w:lineRule="auto" w:before="0" w:after="120"/>
        <w:ind w:left="720" w:hanging="720"/>
        <w:jc w:val="left"/>
      </w:pPr>
      <w:r>
        <w:rPr>
          <w:rFonts w:ascii="Times New Roman" w:hAnsi="Times New Roman"/>
          <w:i w:val="0"/>
          <w:sz w:val="24"/>
        </w:rPr>
        <w:t xml:space="preserve">NIICE Nepal. (2026). </w:t>
      </w:r>
      <w:r>
        <w:rPr>
          <w:rFonts w:ascii="Times New Roman" w:hAnsi="Times New Roman"/>
          <w:i/>
          <w:sz w:val="24"/>
        </w:rPr>
        <w:t>Power and permission: How India gatekeeps Nepal's electricity exports to Bangladesh.</w:t>
      </w:r>
      <w:r>
        <w:rPr>
          <w:rFonts w:ascii="Times New Roman" w:hAnsi="Times New Roman"/>
          <w:i w:val="0"/>
          <w:sz w:val="24"/>
        </w:rPr>
        <w:t xml:space="preserve"> Nepal Institute for International Cooperation and Engagement. https://niice.org.np/archives/12560</w:t>
      </w:r>
    </w:p>
    <w:p>
      <w:pPr>
        <w:spacing w:line="360" w:lineRule="auto" w:before="0" w:after="120"/>
        <w:ind w:left="720" w:hanging="720"/>
        <w:jc w:val="left"/>
      </w:pPr>
      <w:r>
        <w:rPr>
          <w:rFonts w:ascii="Times New Roman" w:hAnsi="Times New Roman"/>
          <w:i w:val="0"/>
          <w:sz w:val="24"/>
        </w:rPr>
        <w:t xml:space="preserve">Power Division. (2025). </w:t>
      </w:r>
      <w:r>
        <w:rPr>
          <w:rFonts w:ascii="Times New Roman" w:hAnsi="Times New Roman"/>
          <w:i/>
          <w:sz w:val="24"/>
        </w:rPr>
        <w:t>Renewable Energy Policy 2025.</w:t>
      </w:r>
      <w:r>
        <w:rPr>
          <w:rFonts w:ascii="Times New Roman" w:hAnsi="Times New Roman"/>
          <w:i w:val="0"/>
          <w:sz w:val="24"/>
        </w:rPr>
        <w:t xml:space="preserve"> Ministry of Power, Energy and Mineral Resources, Government of the People's Republic of Bangladesh.</w:t>
      </w:r>
    </w:p>
    <w:p>
      <w:pPr>
        <w:spacing w:line="360" w:lineRule="auto" w:before="0" w:after="120"/>
        <w:ind w:left="720" w:hanging="720"/>
        <w:jc w:val="left"/>
      </w:pPr>
      <w:r>
        <w:rPr>
          <w:rFonts w:ascii="Times New Roman" w:hAnsi="Times New Roman"/>
          <w:i w:val="0"/>
          <w:sz w:val="24"/>
        </w:rPr>
        <w:t xml:space="preserve">Schulz, C., &amp; Saklani, U. (2021). The future of hydropower development in Nepal: Views from the private sector. </w:t>
      </w:r>
      <w:r>
        <w:rPr>
          <w:rFonts w:ascii="Times New Roman" w:hAnsi="Times New Roman"/>
          <w:i/>
          <w:sz w:val="24"/>
        </w:rPr>
        <w:t>Renewable Energy, 179</w:t>
      </w:r>
      <w:r>
        <w:rPr>
          <w:rFonts w:ascii="Times New Roman" w:hAnsi="Times New Roman"/>
          <w:i w:val="0"/>
          <w:sz w:val="24"/>
        </w:rPr>
        <w:t>, 1578–1588. https://doi.org/10.1016/j.renene.2021.07.138</w:t>
      </w:r>
    </w:p>
    <w:p>
      <w:pPr>
        <w:spacing w:line="360" w:lineRule="auto" w:before="0" w:after="120"/>
        <w:ind w:left="720" w:hanging="720"/>
        <w:jc w:val="left"/>
      </w:pPr>
      <w:r>
        <w:rPr>
          <w:rFonts w:ascii="Times New Roman" w:hAnsi="Times New Roman"/>
          <w:i w:val="0"/>
          <w:sz w:val="24"/>
        </w:rPr>
        <w:t xml:space="preserve">South Asian Desk. (2026). </w:t>
      </w:r>
      <w:r>
        <w:rPr>
          <w:rFonts w:ascii="Times New Roman" w:hAnsi="Times New Roman"/>
          <w:i/>
          <w:sz w:val="24"/>
        </w:rPr>
        <w:t>Nepal's electricity export to Bangladesh enters second season with 40MW as upgrade plans stall.</w:t>
      </w:r>
      <w:r>
        <w:rPr>
          <w:rFonts w:ascii="Times New Roman" w:hAnsi="Times New Roman"/>
          <w:i w:val="0"/>
          <w:sz w:val="24"/>
        </w:rPr>
        <w:t xml:space="preserve"> https://southasiandesk.com/nepals-electricity-export-to-bangladesh/</w:t>
      </w:r>
    </w:p>
    <w:p>
      <w:pPr>
        <w:spacing w:line="360" w:lineRule="auto" w:before="0" w:after="120"/>
        <w:ind w:left="720" w:hanging="720"/>
        <w:jc w:val="left"/>
      </w:pPr>
      <w:r>
        <w:rPr>
          <w:rFonts w:ascii="Times New Roman" w:hAnsi="Times New Roman"/>
          <w:i w:val="0"/>
          <w:sz w:val="24"/>
        </w:rPr>
        <w:t xml:space="preserve">Thakur, J., Hesamzadeh, M. R., &amp; Wolak, F. (2021). </w:t>
      </w:r>
      <w:r>
        <w:rPr>
          <w:rFonts w:ascii="Times New Roman" w:hAnsi="Times New Roman"/>
          <w:i/>
          <w:sz w:val="24"/>
        </w:rPr>
        <w:t>Cross-border electricity trade in the Bangladesh–Bhutan–India–Nepal (BBIN) region: A cost-based market perspective</w:t>
      </w:r>
      <w:r>
        <w:rPr>
          <w:rFonts w:ascii="Times New Roman" w:hAnsi="Times New Roman"/>
          <w:i w:val="0"/>
          <w:sz w:val="24"/>
        </w:rPr>
        <w:t xml:space="preserve"> (EEG Energy Insight). Applied Research Programme on Energy and Economic Growth. https://web.stanford.edu/group/fwolak/cgi-bin/sites/default/files/Insight_May_15_clean.pdf</w:t>
      </w:r>
    </w:p>
    <w:p>
      <w:pPr>
        <w:spacing w:line="360" w:lineRule="auto" w:before="0" w:after="120"/>
        <w:ind w:left="720" w:hanging="720"/>
        <w:jc w:val="left"/>
      </w:pPr>
      <w:r>
        <w:rPr>
          <w:rFonts w:ascii="Times New Roman" w:hAnsi="Times New Roman"/>
          <w:i w:val="0"/>
          <w:sz w:val="24"/>
        </w:rPr>
        <w:t xml:space="preserve">The Business Standard. (2026). </w:t>
      </w:r>
      <w:r>
        <w:rPr>
          <w:rFonts w:ascii="Times New Roman" w:hAnsi="Times New Roman"/>
          <w:i/>
          <w:sz w:val="24"/>
        </w:rPr>
        <w:t>Bangladesh faces new charge on India electricity imports.</w:t>
      </w:r>
      <w:r>
        <w:rPr>
          <w:rFonts w:ascii="Times New Roman" w:hAnsi="Times New Roman"/>
          <w:i w:val="0"/>
          <w:sz w:val="24"/>
        </w:rPr>
        <w:t xml:space="preserve"> https://www.tbsnews.net/bangladesh/energy/bangladesh-faces-new-charge-india-electricity-imports-1522201</w:t>
      </w:r>
    </w:p>
    <w:p>
      <w:pPr>
        <w:spacing w:line="360" w:lineRule="auto" w:before="0" w:after="120"/>
        <w:ind w:left="720" w:hanging="720"/>
        <w:jc w:val="left"/>
      </w:pPr>
      <w:r>
        <w:rPr>
          <w:rFonts w:ascii="Times New Roman" w:hAnsi="Times New Roman"/>
          <w:i w:val="0"/>
          <w:sz w:val="24"/>
        </w:rPr>
        <w:t xml:space="preserve">The Financial Express. (2026). </w:t>
      </w:r>
      <w:r>
        <w:rPr>
          <w:rFonts w:ascii="Times New Roman" w:hAnsi="Times New Roman"/>
          <w:i/>
          <w:sz w:val="24"/>
        </w:rPr>
        <w:t>Hearing on Adani payment dispute begins in Singapore early August.</w:t>
      </w:r>
      <w:r>
        <w:rPr>
          <w:rFonts w:ascii="Times New Roman" w:hAnsi="Times New Roman"/>
          <w:i w:val="0"/>
          <w:sz w:val="24"/>
        </w:rPr>
        <w:t xml:space="preserve"> https://thefinancialexpress.com.bd/trade/hearing-on-adani-payment-dispute-begins-in-singapore-early-august</w:t>
      </w:r>
    </w:p>
    <w:p>
      <w:pPr>
        <w:spacing w:line="360" w:lineRule="auto" w:before="0" w:after="120"/>
        <w:ind w:left="720" w:hanging="720"/>
        <w:jc w:val="left"/>
      </w:pPr>
      <w:r>
        <w:rPr>
          <w:rFonts w:ascii="Times New Roman" w:hAnsi="Times New Roman"/>
          <w:i w:val="0"/>
          <w:sz w:val="24"/>
        </w:rPr>
        <w:t xml:space="preserve">The Himalayan Times. (2024, November 15). </w:t>
      </w:r>
      <w:r>
        <w:rPr>
          <w:rFonts w:ascii="Times New Roman" w:hAnsi="Times New Roman"/>
          <w:i/>
          <w:sz w:val="24"/>
        </w:rPr>
        <w:t>Nepal starts exporting 40MW electricity to Bangladesh.</w:t>
      </w:r>
      <w:r>
        <w:rPr>
          <w:rFonts w:ascii="Times New Roman" w:hAnsi="Times New Roman"/>
          <w:i w:val="0"/>
          <w:sz w:val="24"/>
        </w:rPr>
        <w:t xml:space="preserve"> https://thehimalayantimes.com/business/nepal-starts-exporting-40mw-electricity-to-bangladesh</w:t>
      </w:r>
    </w:p>
    <w:p>
      <w:pPr>
        <w:spacing w:line="360" w:lineRule="auto" w:before="0" w:after="120"/>
        <w:ind w:left="720" w:hanging="720"/>
        <w:jc w:val="left"/>
      </w:pPr>
      <w:r>
        <w:rPr>
          <w:rFonts w:ascii="Times New Roman" w:hAnsi="Times New Roman"/>
          <w:i w:val="0"/>
          <w:sz w:val="24"/>
        </w:rPr>
        <w:t xml:space="preserve">The Kathmandu Post. (2025, July 18). </w:t>
      </w:r>
      <w:r>
        <w:rPr>
          <w:rFonts w:ascii="Times New Roman" w:hAnsi="Times New Roman"/>
          <w:i/>
          <w:sz w:val="24"/>
        </w:rPr>
        <w:t>After 18 years, GMR proceeds with Upper Karnali hydropower works.</w:t>
      </w:r>
      <w:r>
        <w:rPr>
          <w:rFonts w:ascii="Times New Roman" w:hAnsi="Times New Roman"/>
          <w:i w:val="0"/>
          <w:sz w:val="24"/>
        </w:rPr>
        <w:t xml:space="preserve"> https://kathmandupost.com/money/2025/07/18/after-18-years-gmr-proceeds-with-upper-karnali-hydropower-works</w:t>
      </w:r>
    </w:p>
    <w:p>
      <w:pPr>
        <w:spacing w:line="360" w:lineRule="auto" w:before="0" w:after="120"/>
        <w:ind w:left="720" w:hanging="720"/>
        <w:jc w:val="left"/>
      </w:pPr>
      <w:r>
        <w:rPr>
          <w:rFonts w:ascii="Times New Roman" w:hAnsi="Times New Roman"/>
          <w:i w:val="0"/>
          <w:sz w:val="24"/>
        </w:rPr>
        <w:t xml:space="preserve">The Kathmandu Post. (2026a, June 14). </w:t>
      </w:r>
      <w:r>
        <w:rPr>
          <w:rFonts w:ascii="Times New Roman" w:hAnsi="Times New Roman"/>
          <w:i/>
          <w:sz w:val="24"/>
        </w:rPr>
        <w:t>Additional 20 MW electricity export to Bangladesh blocked as India withholds approval.</w:t>
      </w:r>
      <w:r>
        <w:rPr>
          <w:rFonts w:ascii="Times New Roman" w:hAnsi="Times New Roman"/>
          <w:i w:val="0"/>
          <w:sz w:val="24"/>
        </w:rPr>
        <w:t xml:space="preserve"> https://kathmandupost.com/national/2026/06/14/additional-20-mw-electricity-export-to-bangladesh-blocked-as-india-withholds-approval</w:t>
      </w:r>
    </w:p>
    <w:p>
      <w:pPr>
        <w:spacing w:line="360" w:lineRule="auto" w:before="0" w:after="120"/>
        <w:ind w:left="720" w:hanging="720"/>
        <w:jc w:val="left"/>
      </w:pPr>
      <w:r>
        <w:rPr>
          <w:rFonts w:ascii="Times New Roman" w:hAnsi="Times New Roman"/>
          <w:i w:val="0"/>
          <w:sz w:val="24"/>
        </w:rPr>
        <w:t xml:space="preserve">The Kathmandu Post. (2026b, August 23). </w:t>
      </w:r>
      <w:r>
        <w:rPr>
          <w:rFonts w:ascii="Times New Roman" w:hAnsi="Times New Roman"/>
          <w:i/>
          <w:sz w:val="24"/>
        </w:rPr>
        <w:t>India's rising power demand offers Nepal a market—but not forever.</w:t>
      </w:r>
      <w:r>
        <w:rPr>
          <w:rFonts w:ascii="Times New Roman" w:hAnsi="Times New Roman"/>
          <w:i w:val="0"/>
          <w:sz w:val="24"/>
        </w:rPr>
        <w:t xml:space="preserve"> https://kathmandupost.com/money/2026/08/23/india-s-rising-power-demand-offers-nepal-a-market-but-not-forever</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