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rPr>
        <w:t>Modeling Rainfall–Runoff in the Gumai Beel, Ichamoti River Using HEC-HMS</w:t>
      </w:r>
    </w:p>
    <w:p>
      <w:pPr>
        <w:jc w:val="center"/>
      </w:pPr>
    </w:p>
    <w:p>
      <w:pPr>
        <w:jc w:val="center"/>
      </w:pPr>
      <w:r>
        <w:t>Chapter 2: Literature Review</w:t>
      </w:r>
    </w:p>
    <w:p>
      <w:pPr>
        <w:jc w:val="center"/>
      </w:pPr>
    </w:p>
    <w:p>
      <w:pPr>
        <w:jc w:val="center"/>
      </w:pPr>
      <w:r>
        <w:t>[Student Name]</w:t>
      </w:r>
    </w:p>
    <w:p>
      <w:pPr>
        <w:jc w:val="center"/>
      </w:pPr>
      <w:r>
        <w:t>Department of [Department Name], [University Name]</w:t>
      </w:r>
    </w:p>
    <w:p>
      <w:pPr>
        <w:jc w:val="center"/>
      </w:pPr>
      <w:r>
        <w:t>MS Thesis</w:t>
      </w:r>
    </w:p>
    <w:p>
      <w:pPr>
        <w:jc w:val="center"/>
      </w:pPr>
      <w:r>
        <w:t>[Supervisor Name], Supervisor</w:t>
      </w:r>
    </w:p>
    <w:p>
      <w:pPr>
        <w:jc w:val="center"/>
      </w:pPr>
      <w:r>
        <w:t>[Month, Year]</w:t>
      </w:r>
    </w:p>
    <w:p>
      <w:r>
        <w:br w:type="page"/>
      </w:r>
    </w:p>
    <w:p>
      <w:pPr>
        <w:jc w:val="center"/>
      </w:pPr>
      <w:r>
        <w:rPr>
          <w:b/>
        </w:rPr>
        <w:t>Chapter 2: Literature Review</w:t>
      </w:r>
    </w:p>
    <w:p>
      <w:r>
        <w:rPr>
          <w:b/>
        </w:rPr>
        <w:t>2.1 Introduction</w:t>
      </w:r>
    </w:p>
    <w:p>
      <w:pPr>
        <w:ind w:firstLine="720"/>
        <w:jc w:val="left"/>
      </w:pPr>
      <w:r>
        <w:t>This chapter reviews the body of scientific literature that underpins the present study, which develops a rainfall–runoff model of the Gumai Beel catchment within the Ichamoti River system of Pabna District, Bangladesh, using the Hydrologic Engineering Center’s Hydrologic Modeling System (HEC-HMS). The review is organized to move from the general to the particular. It begins with the conceptual foundations of rainfall–runoff processes and the classification of hydrological models, and then examines the structure of the HEC-HMS framework and the scientific basis of its principal computational methods. Subsequent sections review the role of geographic information systems (GIS) and remote sensing in supplying model inputs, survey applications of HEC-HMS across diverse hydro-climatic regions, and narrow the focus to hydrological modeling experience in Bangladesh. Because the study area is not an ordinary upland catchment but a low-lying floodplain wetland (beel) drained by a moribund distributary of the Padma River, a dedicated section reviews the hydrology of beel and floodplain-wetland systems, the anthropogenic decline of the Ichamoti River, and the chronic drainage congestion of the Pabna region. The chapter then reviews accepted standards for model calibration, validation, and performance evaluation, and closes with a synthesis that identifies the research gap this thesis addresses.</w:t>
      </w:r>
    </w:p>
    <w:p>
      <w:pPr>
        <w:ind w:firstLine="720"/>
        <w:jc w:val="left"/>
      </w:pPr>
      <w:r>
        <w:t>Throughout the chapter, emphasis is placed on three questions that guide the design of the present study: (a) which combinations of loss, transform, baseflow, and routing methods within HEC-HMS have proven reliable in monsoon-dominated and data-scarce catchments; (b) what data sources and pre-processing strategies are appropriate where gauge networks are sparse and the terrain is extremely flat; and (c) what performance criteria constitute an acceptable model in the context of an applied water-management problem such as the drainage rehabilitation of the Gumai Beel–Ichamoti system.</w:t>
      </w:r>
    </w:p>
    <w:p>
      <w:r>
        <w:rPr>
          <w:b/>
        </w:rPr>
        <w:t>2.2 Rainfall–Runoff Processes and the Classification of Hydrological Models</w:t>
      </w:r>
    </w:p>
    <w:p>
      <w:pPr>
        <w:ind w:firstLine="720"/>
        <w:jc w:val="left"/>
      </w:pPr>
      <w:r>
        <w:t>The transformation of rainfall into streamflow is the central problem of applied hydrology. Precipitation falling on a catchment is partitioned among interception, depression storage, infiltration, evapotranspiration, soil-moisture replenishment, and surface runoff, and the runoff component is subsequently translated and attenuated as it travels over hillslopes and through channel networks to the catchment outlet (Chow et al., 1988). Because direct measurement of each of these processes at the catchment scale is impossible, hydrologists rely on mathematical models that represent the catchment as a system converting an input hyetograph into an output hydrograph. Singh and Woolhiser (2002), in a comprehensive review of watershed modeling, traced the evolution of such models from the rational method and unit hydrograph theory of the early twentieth century to the distributed, physics-based codes of the modern era, and observed that model complexity must always be balanced against data availability and the purpose of the simulation.</w:t>
      </w:r>
    </w:p>
    <w:p>
      <w:pPr>
        <w:ind w:firstLine="720"/>
        <w:jc w:val="left"/>
      </w:pPr>
      <w:r>
        <w:t>Hydrological models are conventionally classified along two axes. The first concerns the treatment of process representation: empirical (or metric) models relate input to output through statistically fitted relationships with no claim to physical realism; conceptual models represent the catchment as a series of interconnected conceptual storages whose behavior mimics physical processes; and physically based models solve equations of mass, momentum, and energy conservation with parameters that are, in principle, measurable (Devia et al., 2015). The second axis concerns spatial discretization: lumped models treat the catchment as a single homogeneous unit, semi-distributed models divide it into sub-basins within which parameters are lumped, and fully distributed models resolve the catchment on a regular grid (Beven, 2012). No single position in this classification space is universally superior. Physically based distributed models offer the richest process description but demand data that rarely exist in developing-country catchments, and their many degrees of freedom can produce an illusion of realism that the available observations cannot constrain (Beven, 2012). Conceptual semi-distributed models, by contrast, require modest data, are computationally inexpensive, and have repeatedly been shown to reproduce observed hydrographs with accuracy sufficient for planning and design purposes (Devia et al., 2015; Singh &amp; Woolhiser, 2002).</w:t>
      </w:r>
    </w:p>
    <w:p>
      <w:pPr>
        <w:ind w:firstLine="720"/>
        <w:jc w:val="left"/>
      </w:pPr>
      <w:r>
        <w:t>A further operational distinction separates event-based from continuous simulation. Event-based modeling simulates the catchment response to an individual storm and is appropriate for design-flood estimation and flood forecasting, whereas continuous modeling tracks moisture accounting through wet and dry periods over months or years and is appropriate for water-balance and water-resources assessment (Chu &amp; Steinman, 2009). Chu and Steinman (2009) demonstrated, for the Mona Lake watershed in Michigan, that the two modes are complementary: parameters identified through fine-time-step event calibration can be transferred to a coarse-time-step continuous model, improving its reliability where long-term intensive monitoring data are unavailable. This complementarity is directly relevant to the present study, in which monsoon-season runoff events superimposed on a strongly seasonal water balance govern the inundation behavior of the Gumai Beel.</w:t>
      </w:r>
    </w:p>
    <w:p>
      <w:pPr>
        <w:ind w:firstLine="720"/>
        <w:jc w:val="left"/>
      </w:pPr>
      <w:r>
        <w:t>For a data-scarce, monsoon-dominated floodplain catchment such as the study area, the literature therefore points toward a conceptual, semi-distributed modeling strategy capable of both event and continuous operation. Among the freely available modeling systems that satisfy these criteria, HEC-HMS has become one of the most widely adopted worldwide, and the following section reviews its structure and methods in detail.</w:t>
      </w:r>
    </w:p>
    <w:p>
      <w:r>
        <w:rPr>
          <w:b/>
        </w:rPr>
        <w:t>2.3 The HEC-HMS Modeling Framework</w:t>
      </w:r>
    </w:p>
    <w:p>
      <w:r>
        <w:rPr>
          <w:b/>
          <w:i/>
        </w:rPr>
        <w:t>2.3.1 Origin and Structure</w:t>
      </w:r>
    </w:p>
    <w:p>
      <w:pPr>
        <w:ind w:firstLine="720"/>
        <w:jc w:val="left"/>
      </w:pPr>
      <w:r>
        <w:t>HEC-HMS was developed by the Hydrologic Engineering Center of the U.S. Army Corps of Engineers as the successor to the HEC-1 flood hydrograph package, and it is designed to simulate the complete precipitation–runoff process of dendritic watershed systems (U.S. Army Corps of Engineers [USACE], 2000). A HEC-HMS project comprises three principal components: a basin model, which describes the physical catchment as a network of sub-basins, reaches, junctions, reservoirs, diversions, sources, and sinks; a meteorological model, which assigns precipitation and evapotranspiration boundary conditions to the sub-basins; and control specifications, which define the simulation window and time step (USACE, 2000). Within each sub-basin, the user selects one method from each of several interchangeable libraries—canopy and surface storage, loss (infiltration), direct-runoff transform, and baseflow—while each reach is assigned a channel-routing method. This modular architecture is the principal reason for the model’s versatility: the same software can be configured as a simple event-based lumped model or as a gridded, continuous, semi-distributed model. The program is in the public domain, is supported by extensive documentation, and integrates with GIS-based terrain preprocessing tools (Fleming &amp; Doan, 2013), all of which explain its popularity in regions where commercial modeling systems are unaffordable (Oleyiblo &amp; Li, 2010).</w:t>
      </w:r>
    </w:p>
    <w:p>
      <w:r>
        <w:rPr>
          <w:b/>
          <w:i/>
        </w:rPr>
        <w:t>2.3.2 Loss Methods and the SCS Curve Number</w:t>
      </w:r>
    </w:p>
    <w:p>
      <w:pPr>
        <w:ind w:firstLine="720"/>
        <w:jc w:val="left"/>
      </w:pPr>
      <w:r>
        <w:t>The loss model determines how much of the incident rainfall infiltrates or is otherwise abstracted, and therefore how much becomes precipitation excess available for direct runoff. The most widely used loss method in HEC-HMS applications is the Soil Conservation Service Curve Number (SCS-CN) method, developed by the U.S. Department of Agriculture from empirical analysis of small agricultural watersheds (USDA Soil Conservation Service, 1985). The method condenses the combined influence of soil hydrologic group, land use and treatment, surface condition, and antecedent moisture into a single dimensionless parameter, the curve number (CN), which varies between 0 and 100. Its appeal lies in its simplicity, its modest data requirements, and its direct linkage to mappable catchment properties, which allows CN values to be estimated for ungauged areas from land-cover and soil maps (Mishra &amp; Singh, 2003). The method has also attracted sustained critique. Ponce and Hawkins (1996), in a widely cited appraisal, concluded that while the method is well established for event-scale runoff estimation on agricultural catchments, its lack of an explicit time dimension and its sensitivity to antecedent moisture demand caution, particularly outside the range of conditions for which it was derived. Mishra and Singh (2003) provided a comprehensive theoretical re-derivation of the method and catalogued numerous modifications intended to extend its validity.</w:t>
      </w:r>
    </w:p>
    <w:p>
      <w:pPr>
        <w:ind w:firstLine="720"/>
        <w:jc w:val="left"/>
      </w:pPr>
      <w:r>
        <w:t>HEC-HMS offers several alternatives to the SCS-CN approach, including the initial-and-constant loss method, the deficit-and-constant method, the Green–Ampt infiltration model, and, for continuous simulation, the five-layer soil moisture accounting (SMA) algorithm (USACE, 2000). The empirical evidence indicates that no loss method is universally best and that the choice must be tested against local data. Halwatura and Najim (2013), calibrating HEC-HMS 3.4 for the tropical Attanagalu Oya catchment in Sri Lanka, found that the deficit-and-constant loss method outperformed the SCS-CN method, which they reported to perform poorly for their wet-zone catchment. Conversely, Gilewski and Nawalany (2018) found the SCS-CN method to perform best for flood events with unimodal temporal distributions in a mountainous Polish catchment, and Tassew et al. (2019) obtained very good performance with the SCS-CN method in the monsoonal Gilgel Abay catchment of Ethiopia. For continuous applications, Chu and Steinman (2009) paired the SCS-CN method for event simulation with the SMA method for continuous simulation of the same watershed, illustrating how the two can be used in tandem. These mixed findings justify the comparative testing of loss methods that is undertaken in the methodology of the present study.</w:t>
      </w:r>
    </w:p>
    <w:p>
      <w:r>
        <w:rPr>
          <w:b/>
          <w:i/>
        </w:rPr>
        <w:t>2.3.3 Direct-Runoff Transform Methods</w:t>
      </w:r>
    </w:p>
    <w:p>
      <w:pPr>
        <w:ind w:firstLine="720"/>
        <w:jc w:val="left"/>
      </w:pPr>
      <w:r>
        <w:t>The transform model converts precipitation excess into a direct-runoff hydrograph at the sub-basin outlet. Most HEC-HMS applications employ unit-hydrograph theory, of which three synthetic variants dominate: the SCS dimensionless unit hydrograph, parameterized by basin lag time; the Clark unit hydrograph, which combines a time–area histogram with a linear-reservoir storage coefficient to represent translation and attenuation separately; and the Snyder unit hydrograph, an empirical method parameterized by lag and peaking coefficients (Chow et al., 1988; USACE, 2000). Comparative evidence again indicates that the appropriate choice is catchment specific. Halwatura and Najim (2013) reported that the Snyder unit hydrograph simulated flows more reliably than the Clark unit hydrograph in their tropical catchment, while the SCS unit hydrograph combined with the SCS-CN loss model has been the most frequently adopted configuration in South Asian and African applications (Nujhat et al., 2024; Tassew et al., 2019). For very flat catchments, lag-time estimation deserves particular care because empirical lag equations were developed predominantly for sloping terrain, and misestimated lag propagates directly into errors in peak timing (Chow et al., 1988).</w:t>
      </w:r>
    </w:p>
    <w:p>
      <w:r>
        <w:rPr>
          <w:b/>
          <w:i/>
        </w:rPr>
        <w:t>2.3.4 Baseflow Methods</w:t>
      </w:r>
    </w:p>
    <w:p>
      <w:pPr>
        <w:ind w:firstLine="720"/>
        <w:jc w:val="left"/>
      </w:pPr>
      <w:r>
        <w:t>Baseflow representation is frequently the weakest element of event-oriented models, yet in floodplain-wetland systems the slow drainage component can dominate the recession limb and the dry-season water balance. HEC-HMS provides recession, bounded-recession, linear-reservoir, and constant-monthly baseflow methods (USACE, 2000). Experience in Bangladesh suggests that baseflow is a genuine difficulty: M. B. Haque et al. (2024), modeling the Halda River catchment, obtained satisfactory overall statistics but reported a poor match for the baseflow portion of the hydrograph during calibration, which they attributed to unrepresented groundwater–surface water exchange, and they recommended coupling with a groundwater model as a route to improvement. Such findings caution against interpreting event-calibrated models as complete descriptions of low-flow behavior, a caution of particular force in beel environments where monsoon storage is released gradually through the post-monsoon season.</w:t>
      </w:r>
    </w:p>
    <w:p>
      <w:r>
        <w:rPr>
          <w:b/>
          <w:i/>
        </w:rPr>
        <w:t>2.3.5 Channel Routing Methods</w:t>
      </w:r>
    </w:p>
    <w:p>
      <w:pPr>
        <w:ind w:firstLine="720"/>
        <w:jc w:val="left"/>
      </w:pPr>
      <w:r>
        <w:t>Flow routing through reaches is available in HEC-HMS through the Muskingum, Muskingum–Cunge, kinematic-wave, modified-Puls, and lag methods (USACE, 2000). The Muskingum method, which represents a reach as a linear storage with travel-time parameter K and weighting parameter X, remains the most commonly adopted in applications comparable to the present study (Nujhat et al., 2024; Tassew et al., 2019). Its limitation—shared by all hydrologic routing schemes—is that it cannot represent backwater effects, flow reversal, or looped stage–discharge relations, which are common in extremely flat deltaic channels. Where such hydraulic effects matter, the literature couples HEC-HMS with a hydraulic model: Knebl et al. (2005) demonstrated an influential framework in which HEC-HMS-derived hydrographs drive unsteady HEC-RAS simulation for floodplain mapping of the San Antonio River basin. An analogous coupling represents a natural extension of the present work, given that drainage of the Gumai Beel is partly controlled by water levels in the receiving Ichamoti channel rather than by catchment runoff alone.</w:t>
      </w:r>
    </w:p>
    <w:p>
      <w:r>
        <w:rPr>
          <w:b/>
        </w:rPr>
        <w:t>2.4 GIS, Remote Sensing, and Input Data for Hydrological Modeling</w:t>
      </w:r>
    </w:p>
    <w:p>
      <w:r>
        <w:rPr>
          <w:b/>
          <w:i/>
        </w:rPr>
        <w:t>2.4.1 Digital Elevation Models and Watershed Delineation</w:t>
      </w:r>
    </w:p>
    <w:p>
      <w:pPr>
        <w:ind w:firstLine="720"/>
        <w:jc w:val="left"/>
      </w:pPr>
      <w:r>
        <w:t>Semi-distributed modeling begins with terrain analysis: delineation of sub-basins and stream networks from a digital elevation model (DEM), and extraction of physiographic parameters such as area, slope, and longest flow path. The Shuttle Radar Topography Mission (SRTM) provided the first near-global, freely available elevation dataset and remains the most widely used DEM in developing-country hydrology (Farr et al., 2007). The GIS companion tools of HEC-HMS, notably the HEC-GeoHMS extension and its successors integrated into recent program versions, automate terrain preprocessing, basin processing, and the assembly of basin-model files (Fleming &amp; Doan, 2013; Oleyiblo &amp; Li, 2010). The reliability of automated delineation, however, degrades precisely in the terrain type of the present study: low-relief floodplains. Datta et al. (2022), working on the Halda watershed in Bangladesh, showed systematically that delineation outcomes depend materially on the choice of DEM product, its spatial resolution, and the stream-definition area threshold, and that these choices propagate into sub-basin geometry and derived parameters. In flat deltaic terrain, where total relief may be only a few meters and anthropogenic features such as roads and embankments control actual flow paths, DEM vertical error can exceed the topographic signal, and the literature therefore recommends verification of automatically delineated drainage against field knowledge and hydrographic maps (Datta et al., 2022). This consideration is central to the delineation strategy adopted in Chapter 3 of this thesis.</w:t>
      </w:r>
    </w:p>
    <w:p>
      <w:r>
        <w:rPr>
          <w:b/>
          <w:i/>
        </w:rPr>
        <w:t>2.4.2 Land Use, Soils, and Curve Number Generation</w:t>
      </w:r>
    </w:p>
    <w:p>
      <w:pPr>
        <w:ind w:firstLine="720"/>
        <w:jc w:val="left"/>
      </w:pPr>
      <w:r>
        <w:t>Loss-model parameterization in ungauged or sparsely gauged basins rests on thematic mapping. The standard workflow intersects a land-use/land-cover (LULC) classification, commonly derived from Landsat or Sentinel-2 imagery, with a hydrologic soil group map derived from soil surveys, and assigns composite curve numbers to each sub-basin through standard lookup tables (Fleming &amp; Doan, 2013; USDA Soil Conservation Service, 1985). Applications across climates confirm both the practicality and the sensitivity of this workflow: Tassew et al. (2019) identified the curve number as the single most sensitive parameter of their model, and M. B. Haque et al. (2024) likewise found the runoff–rainfall relationship to be highly sensitive to sub-basin CN values, which depend directly on the LULC classification. These findings imply that LULC accuracy assessment and CN calibration bounds deserve explicit attention in the present study, particularly because beel environments exhibit strong seasonal alternation between open water, cropped land, and marsh vegetation that a single-date LULC classification cannot capture.</w:t>
      </w:r>
    </w:p>
    <w:p>
      <w:r>
        <w:rPr>
          <w:b/>
          <w:i/>
        </w:rPr>
        <w:t>2.4.3 Precipitation Inputs: Gauges, Reanalysis, and Satellite Products</w:t>
      </w:r>
    </w:p>
    <w:p>
      <w:pPr>
        <w:ind w:firstLine="720"/>
        <w:jc w:val="left"/>
      </w:pPr>
      <w:r>
        <w:t>Precipitation is the dominant control on simulated runoff, and its estimation is a major source of uncertainty where gauge networks are sparse. Three families of alternatives to gauge interpolation have matured over the past two decades: ground-based weather radar, satellite multi-sensor products such as the Integrated Multi-satellitE Retrievals for Global Precipitation Measurement (IMERG), and atmospheric reanalyses such as ERA5 (Hersbach et al., 2020). The Climate Hazards Group InfraRed Precipitation with Station data (CHIRPS) offers a long quasi-global record blending satellite estimates with station observations, designed expressly for data-sparse regions (Funk et al., 2015). Gilewski and Nawalany (2018) compared rain-gauge, adjusted-radar, and IMERG forcing of an HEC-HMS model and found that adjusted radar and IMERG were the most reliable sources for event-based modeling, while emphasizing that the model must be recalibrated separately for each forcing because the spatial and temporal structure of rainfall significantly affects parameter estimates. In Bangladesh, ERA5 forcing has been used successfully where Bangladesh Meteorological Department gauge records are sparse or discontinuous (M. B. Haque et al., 2024). For the present study, which can draw on Bangladesh Water Development Board (BWDB) and Bangladesh Meteorological Department gauges in and around Pabna, the literature supports a strategy of gauge-primary forcing with satellite or reanalysis products used for gap filling and consistency checking.</w:t>
      </w:r>
    </w:p>
    <w:p>
      <w:r>
        <w:rPr>
          <w:b/>
        </w:rPr>
        <w:t>2.5 Applications of HEC-HMS Across Diverse Hydro-Climatic Regions</w:t>
      </w:r>
    </w:p>
    <w:p>
      <w:pPr>
        <w:ind w:firstLine="720"/>
        <w:jc w:val="left"/>
      </w:pPr>
      <w:r>
        <w:t>The international literature on HEC-HMS applications is extensive, and a selective review of methodologically instructive studies is presented here; Table 2.1 summarizes their essential characteristics. In the United States, Knebl et al. (2005) established the template for regional-scale flood modeling by integrating NEXRAD radar rainfall, GIS preprocessing, HEC-HMS runoff simulation, and HEC-RAS hydraulic routing across the roughly 10,000 km² San Antonio River basin for the severe summer 2002 storm, demonstrating that manually calibrated sub-basin parameters could reproduce discharge at twelve interior points and support credible floodplain mapping. Chu and Steinman (2009) contributed the joint event–continuous calibration strategy described in Section 2.2. In China, Oleyiblo and Li (2010) applied HEC-HMS with HEC-GeoHMS terrain preprocessing to the Misai and Wan’an catchments and reported determination coefficients above 0.9 for all simulated flood events, with peak-discharge errors within acceptable forecasting limits, concluding that the model was suitable for flood forecasting in humid subtropical catchments.</w:t>
      </w:r>
    </w:p>
    <w:p>
      <w:pPr>
        <w:ind w:firstLine="720"/>
        <w:jc w:val="left"/>
      </w:pPr>
      <w:r>
        <w:t>In South Asia, Meenu et al. (2013) used HEC-HMS 3.4 with the statistical downscaling model SDSM to assess the hydrologic impacts of HadCM3 A2 and B2 climate scenarios on the Tunga–Bhadra basin in India, projecting increased precipitation and runoff for future periods; their study illustrates the use of HEC-HMS as the hydrological engine of climate-impact chains, an application later replicated in Bangladesh. Halwatura and Najim (2013) provided one of the most cited tropical calibration studies, comparing loss and transform method combinations for the Attanagalu Oya catchment in Sri Lanka and recommending the Snyder unit hydrograph with deficit-and-constant losses; their explicit message—that method combinations must be tested rather than assumed—has shaped subsequent practice. In Africa, Tassew et al. (2019) calibrated an event-based model of the 1,609 km² Gilgel Abay catchment in the Lake Tana basin of Ethiopia using the SCS-CN, SCS unit hydrograph, and Muskingum methods, achieving a Nash–Sutcliffe efficiency (NSE) of 0.884 and a coefficient of determination of 0.925 during validation, with sensitivity analysis identifying the curve number as the controlling parameter. Aliye et al. (2020) compared HEC-HMS and the Soil and Water Assessment Tool (SWAT) for a data-scarce catchment of the Ethiopian Rift Valley Lakes basin, exemplifying a growing comparative literature in which HEC-HMS holds its own against more heavily parameterized models. In Europe, Gilewski and Nawalany (2018) used HEC-HMS as the testbed for their precipitation-product intercomparison discussed above.</w:t>
      </w:r>
    </w:p>
    <w:p>
      <w:pPr>
        <w:ind w:firstLine="720"/>
        <w:jc w:val="left"/>
      </w:pPr>
      <w:r>
        <w:t>Three consistent lessons emerge from this international experience. First, the combination of SCS-CN loss, SCS unit hydrograph transform, and Muskingum routing constitutes the de facto default configuration, and it generally performs satisfactorily in monsoonal and semi-arid regimes, but documented exceptions (Halwatura &amp; Najim, 2013) forbid uncritical adoption. Second, the curve number is almost invariably the most sensitive parameter, so its spatial estimation and calibration bounds dominate model quality (Tassew et al., 2019). Third, HEC-HMS performance is limited less by its algorithms than by input data quality—precipitation above all—which motivates the careful forcing-data strategy reviewed in Section 2.4.3 (Gilewski &amp; Nawalany, 2018).</w:t>
      </w:r>
    </w:p>
    <w:p>
      <w:r>
        <w:rPr>
          <w:b/>
        </w:rPr>
        <w:t>Table 2.1</w:t>
      </w:r>
    </w:p>
    <w:p>
      <w:r>
        <w:rPr>
          <w:i/>
        </w:rPr>
        <w:t>Selected Applications of HEC-HMS Reviewed in This Chapter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Pr>
                <w:rFonts w:ascii="Times New Roman" w:hAnsi="Times New Roman"/>
                <w:b/>
                <w:sz w:val="20"/>
              </w:rPr>
              <w:t>Study</w:t>
            </w:r>
          </w:p>
        </w:tc>
        <w:tc>
          <w:tcPr>
            <w:tcW w:type="dxa" w:w="2448"/>
          </w:tcPr>
          <w:p>
            <w:pPr>
              <w:spacing w:line="240" w:lineRule="auto"/>
            </w:pPr>
            <w:r>
              <w:rPr>
                <w:rFonts w:ascii="Times New Roman" w:hAnsi="Times New Roman"/>
                <w:b/>
                <w:sz w:val="20"/>
              </w:rPr>
              <w:t>Location / basin</w:t>
            </w:r>
          </w:p>
        </w:tc>
        <w:tc>
          <w:tcPr>
            <w:tcW w:type="dxa" w:w="2448"/>
          </w:tcPr>
          <w:p>
            <w:pPr>
              <w:spacing w:line="240" w:lineRule="auto"/>
            </w:pPr>
            <w:r>
              <w:rPr>
                <w:rFonts w:ascii="Times New Roman" w:hAnsi="Times New Roman"/>
                <w:b/>
                <w:sz w:val="20"/>
              </w:rPr>
              <w:t>Principal methods</w:t>
            </w:r>
          </w:p>
        </w:tc>
        <w:tc>
          <w:tcPr>
            <w:tcW w:type="dxa" w:w="2304"/>
          </w:tcPr>
          <w:p>
            <w:pPr>
              <w:spacing w:line="240" w:lineRule="auto"/>
            </w:pPr>
            <w:r>
              <w:rPr>
                <w:rFonts w:ascii="Times New Roman" w:hAnsi="Times New Roman"/>
                <w:b/>
                <w:sz w:val="20"/>
              </w:rPr>
              <w:t>Reported performance</w:t>
            </w:r>
          </w:p>
        </w:tc>
      </w:tr>
      <w:tr>
        <w:tc>
          <w:tcPr>
            <w:tcW w:type="dxa" w:w="2160"/>
          </w:tcPr>
          <w:p>
            <w:pPr>
              <w:spacing w:line="240" w:lineRule="auto"/>
            </w:pPr>
            <w:r>
              <w:rPr>
                <w:rFonts w:ascii="Times New Roman" w:hAnsi="Times New Roman"/>
                <w:sz w:val="20"/>
              </w:rPr>
              <w:t>Knebl et al. (2005)</w:t>
            </w:r>
          </w:p>
        </w:tc>
        <w:tc>
          <w:tcPr>
            <w:tcW w:type="dxa" w:w="2448"/>
          </w:tcPr>
          <w:p>
            <w:pPr>
              <w:spacing w:line="240" w:lineRule="auto"/>
            </w:pPr>
            <w:r>
              <w:rPr>
                <w:rFonts w:ascii="Times New Roman" w:hAnsi="Times New Roman"/>
                <w:sz w:val="20"/>
              </w:rPr>
              <w:t>San Antonio River basin, USA (~10,000 km²)</w:t>
            </w:r>
          </w:p>
        </w:tc>
        <w:tc>
          <w:tcPr>
            <w:tcW w:type="dxa" w:w="2448"/>
          </w:tcPr>
          <w:p>
            <w:pPr>
              <w:spacing w:line="240" w:lineRule="auto"/>
            </w:pPr>
            <w:r>
              <w:rPr>
                <w:rFonts w:ascii="Times New Roman" w:hAnsi="Times New Roman"/>
                <w:sz w:val="20"/>
              </w:rPr>
              <w:t>NEXRAD rainfall; HEC-HMS + HEC-RAS coupling</w:t>
            </w:r>
          </w:p>
        </w:tc>
        <w:tc>
          <w:tcPr>
            <w:tcW w:type="dxa" w:w="2304"/>
          </w:tcPr>
          <w:p>
            <w:pPr>
              <w:spacing w:line="240" w:lineRule="auto"/>
            </w:pPr>
            <w:r>
              <w:rPr>
                <w:rFonts w:ascii="Times New Roman" w:hAnsi="Times New Roman"/>
                <w:sz w:val="20"/>
              </w:rPr>
              <w:t>Calibrated discharge at 12 sub-basins; credible flood mapping</w:t>
            </w:r>
          </w:p>
        </w:tc>
      </w:tr>
      <w:tr>
        <w:tc>
          <w:tcPr>
            <w:tcW w:type="dxa" w:w="2160"/>
          </w:tcPr>
          <w:p>
            <w:pPr>
              <w:spacing w:line="240" w:lineRule="auto"/>
            </w:pPr>
            <w:r>
              <w:rPr>
                <w:rFonts w:ascii="Times New Roman" w:hAnsi="Times New Roman"/>
                <w:sz w:val="20"/>
              </w:rPr>
              <w:t>Chu &amp; Steinman (2009)</w:t>
            </w:r>
          </w:p>
        </w:tc>
        <w:tc>
          <w:tcPr>
            <w:tcW w:type="dxa" w:w="2448"/>
          </w:tcPr>
          <w:p>
            <w:pPr>
              <w:spacing w:line="240" w:lineRule="auto"/>
            </w:pPr>
            <w:r>
              <w:rPr>
                <w:rFonts w:ascii="Times New Roman" w:hAnsi="Times New Roman"/>
                <w:sz w:val="20"/>
              </w:rPr>
              <w:t>Mona Lake watershed, Michigan, USA</w:t>
            </w:r>
          </w:p>
        </w:tc>
        <w:tc>
          <w:tcPr>
            <w:tcW w:type="dxa" w:w="2448"/>
          </w:tcPr>
          <w:p>
            <w:pPr>
              <w:spacing w:line="240" w:lineRule="auto"/>
            </w:pPr>
            <w:r>
              <w:rPr>
                <w:rFonts w:ascii="Times New Roman" w:hAnsi="Times New Roman"/>
                <w:sz w:val="20"/>
              </w:rPr>
              <w:t>SCS-CN (event); SMA (continuous)</w:t>
            </w:r>
          </w:p>
        </w:tc>
        <w:tc>
          <w:tcPr>
            <w:tcW w:type="dxa" w:w="2304"/>
          </w:tcPr>
          <w:p>
            <w:pPr>
              <w:spacing w:line="240" w:lineRule="auto"/>
            </w:pPr>
            <w:r>
              <w:rPr>
                <w:rFonts w:ascii="Times New Roman" w:hAnsi="Times New Roman"/>
                <w:sz w:val="20"/>
              </w:rPr>
              <w:t>Event-calibrated parameters improved continuous simulation</w:t>
            </w:r>
          </w:p>
        </w:tc>
      </w:tr>
      <w:tr>
        <w:tc>
          <w:tcPr>
            <w:tcW w:type="dxa" w:w="2160"/>
          </w:tcPr>
          <w:p>
            <w:pPr>
              <w:spacing w:line="240" w:lineRule="auto"/>
            </w:pPr>
            <w:r>
              <w:rPr>
                <w:rFonts w:ascii="Times New Roman" w:hAnsi="Times New Roman"/>
                <w:sz w:val="20"/>
              </w:rPr>
              <w:t>Oleyiblo &amp; Li (2010)</w:t>
            </w:r>
          </w:p>
        </w:tc>
        <w:tc>
          <w:tcPr>
            <w:tcW w:type="dxa" w:w="2448"/>
          </w:tcPr>
          <w:p>
            <w:pPr>
              <w:spacing w:line="240" w:lineRule="auto"/>
            </w:pPr>
            <w:r>
              <w:rPr>
                <w:rFonts w:ascii="Times New Roman" w:hAnsi="Times New Roman"/>
                <w:sz w:val="20"/>
              </w:rPr>
              <w:t>Misai and Wan’an catchments, China</w:t>
            </w:r>
          </w:p>
        </w:tc>
        <w:tc>
          <w:tcPr>
            <w:tcW w:type="dxa" w:w="2448"/>
          </w:tcPr>
          <w:p>
            <w:pPr>
              <w:spacing w:line="240" w:lineRule="auto"/>
            </w:pPr>
            <w:r>
              <w:rPr>
                <w:rFonts w:ascii="Times New Roman" w:hAnsi="Times New Roman"/>
                <w:sz w:val="20"/>
              </w:rPr>
              <w:t>HEC-GeoHMS preprocessing; event simulation</w:t>
            </w:r>
          </w:p>
        </w:tc>
        <w:tc>
          <w:tcPr>
            <w:tcW w:type="dxa" w:w="2304"/>
          </w:tcPr>
          <w:p>
            <w:pPr>
              <w:spacing w:line="240" w:lineRule="auto"/>
            </w:pPr>
            <w:r>
              <w:rPr>
                <w:rFonts w:ascii="Times New Roman" w:hAnsi="Times New Roman"/>
                <w:sz w:val="20"/>
              </w:rPr>
              <w:t>R² &gt; 0.9 for all events; acceptable peak errors</w:t>
            </w:r>
          </w:p>
        </w:tc>
      </w:tr>
      <w:tr>
        <w:tc>
          <w:tcPr>
            <w:tcW w:type="dxa" w:w="2160"/>
          </w:tcPr>
          <w:p>
            <w:pPr>
              <w:spacing w:line="240" w:lineRule="auto"/>
            </w:pPr>
            <w:r>
              <w:rPr>
                <w:rFonts w:ascii="Times New Roman" w:hAnsi="Times New Roman"/>
                <w:sz w:val="20"/>
              </w:rPr>
              <w:t>Halwatura &amp; Najim (2013)</w:t>
            </w:r>
          </w:p>
        </w:tc>
        <w:tc>
          <w:tcPr>
            <w:tcW w:type="dxa" w:w="2448"/>
          </w:tcPr>
          <w:p>
            <w:pPr>
              <w:spacing w:line="240" w:lineRule="auto"/>
            </w:pPr>
            <w:r>
              <w:rPr>
                <w:rFonts w:ascii="Times New Roman" w:hAnsi="Times New Roman"/>
                <w:sz w:val="20"/>
              </w:rPr>
              <w:t>Attanagalu Oya catchment, Sri Lanka</w:t>
            </w:r>
          </w:p>
        </w:tc>
        <w:tc>
          <w:tcPr>
            <w:tcW w:type="dxa" w:w="2448"/>
          </w:tcPr>
          <w:p>
            <w:pPr>
              <w:spacing w:line="240" w:lineRule="auto"/>
            </w:pPr>
            <w:r>
              <w:rPr>
                <w:rFonts w:ascii="Times New Roman" w:hAnsi="Times New Roman"/>
                <w:sz w:val="20"/>
              </w:rPr>
              <w:t>Snyder vs. Clark UH; SCS-CN vs. deficit-constant</w:t>
            </w:r>
          </w:p>
        </w:tc>
        <w:tc>
          <w:tcPr>
            <w:tcW w:type="dxa" w:w="2304"/>
          </w:tcPr>
          <w:p>
            <w:pPr>
              <w:spacing w:line="240" w:lineRule="auto"/>
            </w:pPr>
            <w:r>
              <w:rPr>
                <w:rFonts w:ascii="Times New Roman" w:hAnsi="Times New Roman"/>
                <w:sz w:val="20"/>
              </w:rPr>
              <w:t>Snyder UH + deficit-constant most reliable; SCS-CN poor</w:t>
            </w:r>
          </w:p>
        </w:tc>
      </w:tr>
      <w:tr>
        <w:tc>
          <w:tcPr>
            <w:tcW w:type="dxa" w:w="2160"/>
          </w:tcPr>
          <w:p>
            <w:pPr>
              <w:spacing w:line="240" w:lineRule="auto"/>
            </w:pPr>
            <w:r>
              <w:rPr>
                <w:rFonts w:ascii="Times New Roman" w:hAnsi="Times New Roman"/>
                <w:sz w:val="20"/>
              </w:rPr>
              <w:t>Meenu et al. (2013)</w:t>
            </w:r>
          </w:p>
        </w:tc>
        <w:tc>
          <w:tcPr>
            <w:tcW w:type="dxa" w:w="2448"/>
          </w:tcPr>
          <w:p>
            <w:pPr>
              <w:spacing w:line="240" w:lineRule="auto"/>
            </w:pPr>
            <w:r>
              <w:rPr>
                <w:rFonts w:ascii="Times New Roman" w:hAnsi="Times New Roman"/>
                <w:sz w:val="20"/>
              </w:rPr>
              <w:t>Tunga–Bhadra basin, India</w:t>
            </w:r>
          </w:p>
        </w:tc>
        <w:tc>
          <w:tcPr>
            <w:tcW w:type="dxa" w:w="2448"/>
          </w:tcPr>
          <w:p>
            <w:pPr>
              <w:spacing w:line="240" w:lineRule="auto"/>
            </w:pPr>
            <w:r>
              <w:rPr>
                <w:rFonts w:ascii="Times New Roman" w:hAnsi="Times New Roman"/>
                <w:sz w:val="20"/>
              </w:rPr>
              <w:t>HEC-HMS 3.4 + SDSM downscaling (HadCM3 A2/B2)</w:t>
            </w:r>
          </w:p>
        </w:tc>
        <w:tc>
          <w:tcPr>
            <w:tcW w:type="dxa" w:w="2304"/>
          </w:tcPr>
          <w:p>
            <w:pPr>
              <w:spacing w:line="240" w:lineRule="auto"/>
            </w:pPr>
            <w:r>
              <w:rPr>
                <w:rFonts w:ascii="Times New Roman" w:hAnsi="Times New Roman"/>
                <w:sz w:val="20"/>
              </w:rPr>
              <w:t>Projected increasing precipitation and runoff</w:t>
            </w:r>
          </w:p>
        </w:tc>
      </w:tr>
      <w:tr>
        <w:tc>
          <w:tcPr>
            <w:tcW w:type="dxa" w:w="2160"/>
          </w:tcPr>
          <w:p>
            <w:pPr>
              <w:spacing w:line="240" w:lineRule="auto"/>
            </w:pPr>
            <w:r>
              <w:rPr>
                <w:rFonts w:ascii="Times New Roman" w:hAnsi="Times New Roman"/>
                <w:sz w:val="20"/>
              </w:rPr>
              <w:t>Gilewski &amp; Nawalany (2018)</w:t>
            </w:r>
          </w:p>
        </w:tc>
        <w:tc>
          <w:tcPr>
            <w:tcW w:type="dxa" w:w="2448"/>
          </w:tcPr>
          <w:p>
            <w:pPr>
              <w:spacing w:line="240" w:lineRule="auto"/>
            </w:pPr>
            <w:r>
              <w:rPr>
                <w:rFonts w:ascii="Times New Roman" w:hAnsi="Times New Roman"/>
                <w:sz w:val="20"/>
              </w:rPr>
              <w:t>Upper Skawa catchment, Poland</w:t>
            </w:r>
          </w:p>
        </w:tc>
        <w:tc>
          <w:tcPr>
            <w:tcW w:type="dxa" w:w="2448"/>
          </w:tcPr>
          <w:p>
            <w:pPr>
              <w:spacing w:line="240" w:lineRule="auto"/>
            </w:pPr>
            <w:r>
              <w:rPr>
                <w:rFonts w:ascii="Times New Roman" w:hAnsi="Times New Roman"/>
                <w:sz w:val="20"/>
              </w:rPr>
              <w:t>Gauge vs. radar vs. IMERG forcing; SCS-CN</w:t>
            </w:r>
          </w:p>
        </w:tc>
        <w:tc>
          <w:tcPr>
            <w:tcW w:type="dxa" w:w="2304"/>
          </w:tcPr>
          <w:p>
            <w:pPr>
              <w:spacing w:line="240" w:lineRule="auto"/>
            </w:pPr>
            <w:r>
              <w:rPr>
                <w:rFonts w:ascii="Times New Roman" w:hAnsi="Times New Roman"/>
                <w:sz w:val="20"/>
              </w:rPr>
              <w:t>Adjusted radar and IMERG most reliable forcings</w:t>
            </w:r>
          </w:p>
        </w:tc>
      </w:tr>
      <w:tr>
        <w:tc>
          <w:tcPr>
            <w:tcW w:type="dxa" w:w="2160"/>
          </w:tcPr>
          <w:p>
            <w:pPr>
              <w:spacing w:line="240" w:lineRule="auto"/>
            </w:pPr>
            <w:r>
              <w:rPr>
                <w:rFonts w:ascii="Times New Roman" w:hAnsi="Times New Roman"/>
                <w:sz w:val="20"/>
              </w:rPr>
              <w:t>Tassew et al. (2019)</w:t>
            </w:r>
          </w:p>
        </w:tc>
        <w:tc>
          <w:tcPr>
            <w:tcW w:type="dxa" w:w="2448"/>
          </w:tcPr>
          <w:p>
            <w:pPr>
              <w:spacing w:line="240" w:lineRule="auto"/>
            </w:pPr>
            <w:r>
              <w:rPr>
                <w:rFonts w:ascii="Times New Roman" w:hAnsi="Times New Roman"/>
                <w:sz w:val="20"/>
              </w:rPr>
              <w:t>Gilgel Abay, Lake Tana basin, Ethiopia (1,609 km²)</w:t>
            </w:r>
          </w:p>
        </w:tc>
        <w:tc>
          <w:tcPr>
            <w:tcW w:type="dxa" w:w="2448"/>
          </w:tcPr>
          <w:p>
            <w:pPr>
              <w:spacing w:line="240" w:lineRule="auto"/>
            </w:pPr>
            <w:r>
              <w:rPr>
                <w:rFonts w:ascii="Times New Roman" w:hAnsi="Times New Roman"/>
                <w:sz w:val="20"/>
              </w:rPr>
              <w:t>SCS-CN; SCS UH; Muskingum</w:t>
            </w:r>
          </w:p>
        </w:tc>
        <w:tc>
          <w:tcPr>
            <w:tcW w:type="dxa" w:w="2304"/>
          </w:tcPr>
          <w:p>
            <w:pPr>
              <w:spacing w:line="240" w:lineRule="auto"/>
            </w:pPr>
            <w:r>
              <w:rPr>
                <w:rFonts w:ascii="Times New Roman" w:hAnsi="Times New Roman"/>
                <w:sz w:val="20"/>
              </w:rPr>
              <w:t>NSE = 0.884; R² = 0.925 (validation); CN most sensitive</w:t>
            </w:r>
          </w:p>
        </w:tc>
      </w:tr>
      <w:tr>
        <w:tc>
          <w:tcPr>
            <w:tcW w:type="dxa" w:w="2160"/>
          </w:tcPr>
          <w:p>
            <w:pPr>
              <w:spacing w:line="240" w:lineRule="auto"/>
            </w:pPr>
            <w:r>
              <w:rPr>
                <w:rFonts w:ascii="Times New Roman" w:hAnsi="Times New Roman"/>
                <w:sz w:val="20"/>
              </w:rPr>
              <w:t>Aliye et al. (2020)</w:t>
            </w:r>
          </w:p>
        </w:tc>
        <w:tc>
          <w:tcPr>
            <w:tcW w:type="dxa" w:w="2448"/>
          </w:tcPr>
          <w:p>
            <w:pPr>
              <w:spacing w:line="240" w:lineRule="auto"/>
            </w:pPr>
            <w:r>
              <w:rPr>
                <w:rFonts w:ascii="Times New Roman" w:hAnsi="Times New Roman"/>
                <w:sz w:val="20"/>
              </w:rPr>
              <w:t>Rift Valley Lakes basin, Ethiopia</w:t>
            </w:r>
          </w:p>
        </w:tc>
        <w:tc>
          <w:tcPr>
            <w:tcW w:type="dxa" w:w="2448"/>
          </w:tcPr>
          <w:p>
            <w:pPr>
              <w:spacing w:line="240" w:lineRule="auto"/>
            </w:pPr>
            <w:r>
              <w:rPr>
                <w:rFonts w:ascii="Times New Roman" w:hAnsi="Times New Roman"/>
                <w:sz w:val="20"/>
              </w:rPr>
              <w:t>HEC-HMS vs. SWAT comparison</w:t>
            </w:r>
          </w:p>
        </w:tc>
        <w:tc>
          <w:tcPr>
            <w:tcW w:type="dxa" w:w="2304"/>
          </w:tcPr>
          <w:p>
            <w:pPr>
              <w:spacing w:line="240" w:lineRule="auto"/>
            </w:pPr>
            <w:r>
              <w:rPr>
                <w:rFonts w:ascii="Times New Roman" w:hAnsi="Times New Roman"/>
                <w:sz w:val="20"/>
              </w:rPr>
              <w:t>Both models applicable in data-scarce region</w:t>
            </w:r>
          </w:p>
        </w:tc>
      </w:tr>
      <w:tr>
        <w:tc>
          <w:tcPr>
            <w:tcW w:type="dxa" w:w="2160"/>
          </w:tcPr>
          <w:p>
            <w:pPr>
              <w:spacing w:line="240" w:lineRule="auto"/>
            </w:pPr>
            <w:r>
              <w:rPr>
                <w:rFonts w:ascii="Times New Roman" w:hAnsi="Times New Roman"/>
                <w:sz w:val="20"/>
              </w:rPr>
              <w:t>S. Haque et al. (2020)</w:t>
            </w:r>
          </w:p>
        </w:tc>
        <w:tc>
          <w:tcPr>
            <w:tcW w:type="dxa" w:w="2448"/>
          </w:tcPr>
          <w:p>
            <w:pPr>
              <w:spacing w:line="240" w:lineRule="auto"/>
            </w:pPr>
            <w:r>
              <w:rPr>
                <w:rFonts w:ascii="Times New Roman" w:hAnsi="Times New Roman"/>
                <w:sz w:val="20"/>
              </w:rPr>
              <w:t>Brahmaputra River basin (at Bahadurabad), Bangladesh</w:t>
            </w:r>
          </w:p>
        </w:tc>
        <w:tc>
          <w:tcPr>
            <w:tcW w:type="dxa" w:w="2448"/>
          </w:tcPr>
          <w:p>
            <w:pPr>
              <w:spacing w:line="240" w:lineRule="auto"/>
            </w:pPr>
            <w:r>
              <w:rPr>
                <w:rFonts w:ascii="Times New Roman" w:hAnsi="Times New Roman"/>
                <w:sz w:val="20"/>
              </w:rPr>
              <w:t>Continuous simulation; MUSLE sediment; RCP8.5</w:t>
            </w:r>
          </w:p>
        </w:tc>
        <w:tc>
          <w:tcPr>
            <w:tcW w:type="dxa" w:w="2304"/>
          </w:tcPr>
          <w:p>
            <w:pPr>
              <w:spacing w:line="240" w:lineRule="auto"/>
            </w:pPr>
            <w:r>
              <w:rPr>
                <w:rFonts w:ascii="Times New Roman" w:hAnsi="Times New Roman"/>
                <w:sz w:val="20"/>
              </w:rPr>
              <w:t>NSE = 0.65 (cal.), 0.54 (val.); satisfactory</w:t>
            </w:r>
          </w:p>
        </w:tc>
      </w:tr>
      <w:tr>
        <w:tc>
          <w:tcPr>
            <w:tcW w:type="dxa" w:w="2160"/>
          </w:tcPr>
          <w:p>
            <w:pPr>
              <w:spacing w:line="240" w:lineRule="auto"/>
            </w:pPr>
            <w:r>
              <w:rPr>
                <w:rFonts w:ascii="Times New Roman" w:hAnsi="Times New Roman"/>
                <w:sz w:val="20"/>
              </w:rPr>
              <w:t>Nujhat et al. (2024)</w:t>
            </w:r>
          </w:p>
        </w:tc>
        <w:tc>
          <w:tcPr>
            <w:tcW w:type="dxa" w:w="2448"/>
          </w:tcPr>
          <w:p>
            <w:pPr>
              <w:spacing w:line="240" w:lineRule="auto"/>
            </w:pPr>
            <w:r>
              <w:rPr>
                <w:rFonts w:ascii="Times New Roman" w:hAnsi="Times New Roman"/>
                <w:sz w:val="20"/>
              </w:rPr>
              <w:t>Gumti River basin, Bangladesh</w:t>
            </w:r>
          </w:p>
        </w:tc>
        <w:tc>
          <w:tcPr>
            <w:tcW w:type="dxa" w:w="2448"/>
          </w:tcPr>
          <w:p>
            <w:pPr>
              <w:spacing w:line="240" w:lineRule="auto"/>
            </w:pPr>
            <w:r>
              <w:rPr>
                <w:rFonts w:ascii="Times New Roman" w:hAnsi="Times New Roman"/>
                <w:sz w:val="20"/>
              </w:rPr>
              <w:t>SCS-CN; Muskingum; SRTM delineation</w:t>
            </w:r>
          </w:p>
        </w:tc>
        <w:tc>
          <w:tcPr>
            <w:tcW w:type="dxa" w:w="2304"/>
          </w:tcPr>
          <w:p>
            <w:pPr>
              <w:spacing w:line="240" w:lineRule="auto"/>
            </w:pPr>
            <w:r>
              <w:rPr>
                <w:rFonts w:ascii="Times New Roman" w:hAnsi="Times New Roman"/>
                <w:sz w:val="20"/>
              </w:rPr>
              <w:t>R² = 0.64 (cal.), 0.68 (val.); PBIAS very good</w:t>
            </w:r>
          </w:p>
        </w:tc>
      </w:tr>
      <w:tr>
        <w:tc>
          <w:tcPr>
            <w:tcW w:type="dxa" w:w="2160"/>
          </w:tcPr>
          <w:p>
            <w:pPr>
              <w:spacing w:line="240" w:lineRule="auto"/>
            </w:pPr>
            <w:r>
              <w:rPr>
                <w:rFonts w:ascii="Times New Roman" w:hAnsi="Times New Roman"/>
                <w:sz w:val="20"/>
              </w:rPr>
              <w:t>M. B. Haque et al. (2024)</w:t>
            </w:r>
          </w:p>
        </w:tc>
        <w:tc>
          <w:tcPr>
            <w:tcW w:type="dxa" w:w="2448"/>
          </w:tcPr>
          <w:p>
            <w:pPr>
              <w:spacing w:line="240" w:lineRule="auto"/>
            </w:pPr>
            <w:r>
              <w:rPr>
                <w:rFonts w:ascii="Times New Roman" w:hAnsi="Times New Roman"/>
                <w:sz w:val="20"/>
              </w:rPr>
              <w:t>Halda River catchment, Bangladesh</w:t>
            </w:r>
          </w:p>
        </w:tc>
        <w:tc>
          <w:tcPr>
            <w:tcW w:type="dxa" w:w="2448"/>
          </w:tcPr>
          <w:p>
            <w:pPr>
              <w:spacing w:line="240" w:lineRule="auto"/>
            </w:pPr>
            <w:r>
              <w:rPr>
                <w:rFonts w:ascii="Times New Roman" w:hAnsi="Times New Roman"/>
                <w:sz w:val="20"/>
              </w:rPr>
              <w:t>SCS-CN optimized against SWAT-derived values</w:t>
            </w:r>
          </w:p>
        </w:tc>
        <w:tc>
          <w:tcPr>
            <w:tcW w:type="dxa" w:w="2304"/>
          </w:tcPr>
          <w:p>
            <w:pPr>
              <w:spacing w:line="240" w:lineRule="auto"/>
            </w:pPr>
            <w:r>
              <w:rPr>
                <w:rFonts w:ascii="Times New Roman" w:hAnsi="Times New Roman"/>
                <w:sz w:val="20"/>
              </w:rPr>
              <w:t>NSE = 0.72 (cal.), 0.82 (val.); baseflow underestimated</w:t>
            </w:r>
          </w:p>
        </w:tc>
      </w:tr>
      <w:tr>
        <w:tc>
          <w:tcPr>
            <w:tcW w:type="dxa" w:w="2160"/>
          </w:tcPr>
          <w:p>
            <w:pPr>
              <w:spacing w:line="240" w:lineRule="auto"/>
            </w:pPr>
            <w:r>
              <w:rPr>
                <w:rFonts w:ascii="Times New Roman" w:hAnsi="Times New Roman"/>
                <w:sz w:val="20"/>
              </w:rPr>
              <w:t>Moniruzzaman &amp; Mahalder (2026)</w:t>
            </w:r>
          </w:p>
        </w:tc>
        <w:tc>
          <w:tcPr>
            <w:tcW w:type="dxa" w:w="2448"/>
          </w:tcPr>
          <w:p>
            <w:pPr>
              <w:spacing w:line="240" w:lineRule="auto"/>
            </w:pPr>
            <w:r>
              <w:rPr>
                <w:rFonts w:ascii="Times New Roman" w:hAnsi="Times New Roman"/>
                <w:sz w:val="20"/>
              </w:rPr>
              <w:t>Atrai–Karatoa River basin, Bangladesh</w:t>
            </w:r>
          </w:p>
        </w:tc>
        <w:tc>
          <w:tcPr>
            <w:tcW w:type="dxa" w:w="2448"/>
          </w:tcPr>
          <w:p>
            <w:pPr>
              <w:spacing w:line="240" w:lineRule="auto"/>
            </w:pPr>
            <w:r>
              <w:rPr>
                <w:rFonts w:ascii="Times New Roman" w:hAnsi="Times New Roman"/>
                <w:sz w:val="20"/>
              </w:rPr>
              <w:t>HEC-HMS vs. SWAT comparison</w:t>
            </w:r>
          </w:p>
        </w:tc>
        <w:tc>
          <w:tcPr>
            <w:tcW w:type="dxa" w:w="2304"/>
          </w:tcPr>
          <w:p>
            <w:pPr>
              <w:spacing w:line="240" w:lineRule="auto"/>
            </w:pPr>
            <w:r>
              <w:rPr>
                <w:rFonts w:ascii="Times New Roman" w:hAnsi="Times New Roman"/>
                <w:sz w:val="20"/>
              </w:rPr>
              <w:t>HEC-HMS R² = 0.70 (cal.), 0.56 (val.); best for medium flows</w:t>
            </w:r>
          </w:p>
        </w:tc>
      </w:tr>
    </w:tbl>
    <w:p>
      <w:r>
        <w:rPr>
          <w:i/>
          <w:sz w:val="20"/>
        </w:rPr>
        <w:t>Note. NSE = Nash–Sutcliffe efficiency; R² = coefficient of determination; CN = curve number; UH = unit hydrograph; SMA = soil moisture accounting; cal. = calibration; val. = validation.</w:t>
      </w:r>
    </w:p>
    <w:p>
      <w:r>
        <w:rPr>
          <w:b/>
        </w:rPr>
        <w:t>2.6 Hydrological Modeling Experience in Bangladesh</w:t>
      </w:r>
    </w:p>
    <w:p>
      <w:pPr>
        <w:ind w:firstLine="720"/>
        <w:jc w:val="left"/>
      </w:pPr>
      <w:r>
        <w:t>Bangladesh occupies the lowermost reach of the Ganges–Brahmaputra–Meghna system, and its flood geography—in which normal-season inundation of floodplains and beels is agriculturally essential while abnormal floods are catastrophic—was authoritatively described by Brammer (1990) in his analysis of the 1987 and 1988 floods. Against this backdrop, a substantial national modeling capability has developed around institutional platforms, while the academic literature has increasingly adopted HEC-HMS for basin-scale rainfall–runoff studies because of its zero cost and modest data demands.</w:t>
      </w:r>
    </w:p>
    <w:p>
      <w:pPr>
        <w:ind w:firstLine="720"/>
        <w:jc w:val="left"/>
      </w:pPr>
      <w:r>
        <w:t>Several recent applications define the state of practice. S. Haque et al. (2020) developed a continuous HEC-HMS model of the poorly gauged Brahmaputra basin, calibrated at Bahadurabad against daily runoff for 1983–1996 (NSE = 0.65) and validated for 1997–2010 (NSE = 0.54), and extended it with the Modified Universal Soil Loss Equation and Engelund–Hansen sediment routing to project sediment-load increases of 34%, 67%, and 115% by the 2020s, 2050s, and 2080s under the RCP8.5 scenario. Nujhat et al. (2024) calibrated and validated an HEC-HMS model of the Gumti River basin using 2019–2021 records with SRTM-based delineation, Muskingum routing, and SCS-CN losses, obtaining coefficients of determination of 0.64 and 0.68 for calibration and validation respectively, with percent bias in the very good range, and recommended the calibrated model as a planning tool for flood prediction. M. B. Haque et al. (2024) modeled the ecologically important Halda catchment, optimizing curve numbers against values derived from a companion SWAT application and achieving NSE values of 0.72 and 0.82 in calibration and validation, while candidly documenting baseflow underestimation. Moniruzzaman and Mahalder (2026) compared HEC-HMS and SWAT for the Atrai–Karatoa basin of northern Bangladesh—a basin hydrologically contiguous with the greater Chalan Beel floodplain to which the Pabna beel systems belong—finding that SWAT better captured high flows while HEC-HMS was more accurate for medium flows, with HEC-HMS achieving R² of 0.70 and 0.56 in calibration and validation.</w:t>
      </w:r>
    </w:p>
    <w:p>
      <w:pPr>
        <w:ind w:firstLine="720"/>
        <w:jc w:val="left"/>
      </w:pPr>
      <w:r>
        <w:t>Complementary studies using other models complete the picture. Raihan et al. (2020) simulated streamflow of the Upper Halda basin with SWAT (R² = 0.80, NSE = 0.71), identifying groundwater delay, baseflow recession, and curve number as the most sensitive parameters, and emphasizing the difficulty of capturing rainfall variability from a single gauge. Akter and Ali (2012) assessed environmental flow requirements of the Halda River, illustrating the ecological motivation of much Bangladeshi hydrological modeling. Datta et al. (2022) contributed the DEM-sensitivity analysis of watershed delineation reviewed in Section 2.4.1.</w:t>
      </w:r>
    </w:p>
    <w:p>
      <w:pPr>
        <w:ind w:firstLine="720"/>
        <w:jc w:val="left"/>
      </w:pPr>
      <w:r>
        <w:t>Taken together, the Bangladeshi HEC-HMS literature exhibits a clear spatial bias: published applications concentrate on large transboundary basins (Brahmaputra), flashy piedmont and hill catchments (Halda, Gumti), and the Atrai–Karatoa corridor. The moribund distributary systems of the Ganges right bank—of which the Ichamoti River of Pabna is a prominent example—and their associated beel catchments have not, to the author’s knowledge, been the subject of any published HEC-HMS rainfall–runoff study. It is precisely in such systems, where local rainfall and drainage congestion rather than upstream river floods govern inundation, that runoff quantification is most needed for drainage design, yet where gauging is thinnest. This gap frames the contribution of the present thesis.</w:t>
      </w:r>
    </w:p>
    <w:p>
      <w:r>
        <w:rPr>
          <w:b/>
        </w:rPr>
        <w:t>2.7 Beel and Floodplain-Wetland Hydrology and the Ichamoti–Gumai Beel Context</w:t>
      </w:r>
    </w:p>
    <w:p>
      <w:pPr>
        <w:ind w:firstLine="720"/>
        <w:jc w:val="left"/>
      </w:pPr>
      <w:r>
        <w:t>Wetland hydrology differs fundamentally from upland catchment hydrology: the hydroperiod—the seasonal pattern of water-level rise and fall—is the master variable controlling wetland ecology and land use, and it integrates precipitation, surface inflow and outflow, groundwater exchange, and evapotranspiration in a shallow storage whose area–volume relationship is highly nonlinear (Mitsch &amp; Gosselink, 2015). In the floodplains of Bangladesh, the characteristic wetland landform is the beel, a saucer-shaped depression on the floodplain that retains water perennially or seasonally and is filled both by direct rainfall-runoff from its local catchment and by spill from adjacent rivers during the monsoon (Brammer, 1990). Agriculture, capture fisheries, and settlement in beel areas are finely adapted to the normal hydroperiod, so that both deficient drainage (prolonged waterlogging) and excessive drainage (loss of dry-season water) constitute hazards (Brammer, 1990; Mitsch &amp; Gosselink, 2015).</w:t>
      </w:r>
    </w:p>
    <w:p>
      <w:pPr>
        <w:ind w:firstLine="720"/>
        <w:jc w:val="left"/>
      </w:pPr>
      <w:r>
        <w:t>The hydrology of the beels of southwestern and northwestern Bangladesh cannot be understood apart from two generations of anthropogenic intervention. The first is the diversion of Ganges flow at the Farakka Barrage, commissioned in 1975, which significantly reduced dry-season discharge in the distributaries of the Bangladeshi Ganges. Mirza (1998) demonstrated statistically significant post-Farakka declines in dry-season flows of the Ganges and its Gorai distributary, with consequent accelerated sedimentation of distributary channels, and Gain and Giupponi (2014), applying the range-of-variability approach to twenty-two hydrologic indicators, showed that post-Farakka flows persistently failed pre-Farakka threshold conditions for both annual minima and maxima. Reduced parent-river flows starve distributary offtakes of the sediment-flushing discharges that keep them open, initiating the progressive siltation and eventual hydraulic disconnection of distributaries such as the Ichamoti. The second generation of intervention comprises the flood control, drainage, and irrigation (FCD/FCDI) projects constructed from the 1960s onward, including the Pabna Irrigation and Rural Development Project that encloses much of the study region. Thompson and Sultana (1996), evaluating the distributional impacts of such projects, documented that embankments frequently created internal drainage congestion—to the point that people living inside protected areas deliberately cut embankments to release ponded water—and that in four of five projects studied, flood losses inside protected areas during the 1988 flood exceeded those in adjacent unprotected areas. These findings establish drainage congestion, rather than riverine flooding alone, as the characteristic water hazard of embanked floodplain interiors.</w:t>
      </w:r>
    </w:p>
    <w:p>
      <w:pPr>
        <w:ind w:firstLine="720"/>
        <w:jc w:val="left"/>
      </w:pPr>
      <w:r>
        <w:t>The Ichamoti River of Pabna exemplifies the resulting condition. Originating from the Padma near Shibrampur in Pabna Sadar and following a course of approximately 82–84 km through Pabna town toward the Hurasagar system in Bera upazila, the river has lost its connection with its parent rivers and is now widely described as dead or dying, its channel constricted by siltation, encroachment, solid-waste dumping, and aquatic weed infestation (“Ichhamati Now a Trickle,” 2019; “Tk 1,554cr Project,” 2024). Within Pabna municipality, the river bisects the town but no longer functions as an effective drainage outfall: Parvez et al. (2021) documented that the Ichamoti is moribund—choked with water weeds and sediment—and that parts of the municipality are subject to inundation during and after heavy rainfall, with residents identifying blocked and undersized drains, absent maintenance, and the unplanned drainage network as leading causes of waterlogging. Recognizing this condition, the Government of Bangladesh has undertaken a major rejuvenation program: a Tk 1,554.90 crore project implemented by the Bangladesh Water Development Board, involving dredging of a 33.77 km river stretch together with connecting canals including the Bharara channel, is intended to restore the Ichamoti’s connectivity with the Padma and Jamuna systems (“Tk 1,554cr Project,” 2024).</w:t>
      </w:r>
    </w:p>
    <w:p>
      <w:pPr>
        <w:ind w:firstLine="720"/>
        <w:jc w:val="left"/>
      </w:pPr>
      <w:r>
        <w:t>The Gumai Beel, the focus of the present study, is one of the beel systems of the Pabna floodplain drained through the Ichamoti corridor. Its inundation behavior is governed by the interaction of three controls that the reviewed literature identifies as characteristic of embanked distributary floodplains: local monsoon rainfall-runoff from the beel catchment; the conveyance capacity of the silted Ichamoti and its khals (canals), which sets the rate at which stored water can drain; and the stage of the receiving rivers, which can impose backwater limits on drainage. A rainfall–runoff model of the beel catchment is the necessary first element of any quantitative analysis of this system: it supplies the inflow boundary condition for drainage design, for evaluation of the rejuvenation project’s hydrological benefits, and for assessment of waterlogging risk under current and future rainfall regimes. The regional wetland literature reinforces the urgency of such quantification, as neighboring floodplain wetlands—most prominently the greater Chalan Beel—have experienced severe shrinkage and hydrological fragmentation under siltation, road and embankment construction, and land conversion (Brammer, 1990; Thompson &amp; Sultana, 1996).</w:t>
      </w:r>
    </w:p>
    <w:p>
      <w:r>
        <w:rPr>
          <w:b/>
        </w:rPr>
        <w:t>2.8 Model Calibration, Validation, and Performance Evaluation</w:t>
      </w:r>
    </w:p>
    <w:p>
      <w:pPr>
        <w:ind w:firstLine="720"/>
        <w:jc w:val="left"/>
      </w:pPr>
      <w:r>
        <w:t>Credible use of any rainfall–runoff model requires a disciplined testing protocol. The canonical framework is the split-sample test of Klemeš (1986): the observational record is divided so that the model is calibrated on one period and validated on an independent period, with more demanding differential tests (for example, calibration on wet years and validation on dry years) prescribed when the model is to be used under changed conditions. This protocol is followed, at least in its basic form, by essentially all of the applications reviewed above (e.g., Nujhat et al., 2024; Oleyiblo &amp; Li, 2010; S. Haque et al., 2020; Tassew et al., 2019).</w:t>
      </w:r>
    </w:p>
    <w:p>
      <w:pPr>
        <w:ind w:firstLine="720"/>
        <w:jc w:val="left"/>
      </w:pPr>
      <w:r>
        <w:t>Quantitative performance evaluation rests on a small set of statistics whose properties are well understood. The Nash–Sutcliffe efficiency (Nash &amp; Sutcliffe, 1970) measures the proportion of observed-flow variance explained by the model relative to the observed mean and remains the most widely reported metric, despite known sensitivities to peak flows and to the variance of the observation period. Gupta et al. (2009) decomposed the NSE into correlation, bias, and variability components and proposed the Kling–Gupta efficiency as a more diagnostically transparent alternative, which is increasingly reported alongside NSE. For applied watershed modeling, the guidelines of Moriasi et al. (2007) have become the de facto standard: model performance for streamflow may be judged satisfactory when NSE exceeds 0.50, the RMSE–observations standard deviation ratio (RSR) is at most 0.70, and percent bias (PBIAS) is within ±25%, with stricter thresholds for good and very good ratings. Moriasi et al. (2015) subsequently refined these ratings by constituent, time step, and model type, and recommended that graphical evaluation of hydrographs accompany all statistical assessment. The Bangladeshi applications reviewed in Section 2.6 adopt these thresholds explicitly, and the present study will do likewise, reporting NSE, R², RSR, and PBIAS for both calibration and validation periods.</w:t>
      </w:r>
    </w:p>
    <w:p>
      <w:pPr>
        <w:ind w:firstLine="720"/>
        <w:jc w:val="left"/>
      </w:pPr>
      <w:r>
        <w:t>Calibration itself may be manual, automated, or hybrid. HEC-HMS provides univariate-gradient and Nelder–Mead search algorithms with a choice of objective functions (USACE, 2000), and reviewed applications span the full range of practice: manual calibration guided by physical reasoning (Knebl et al., 2005; Nujhat et al., 2024), automated optimization (Tassew et al., 2019), and staged strategies in which event calibration informs continuous simulation (Chu &amp; Steinman, 2009). Sensitivity analysis should precede calibration to concentrate effort on influential parameters; the consistent finding that curve number, lag time, and Muskingum K dominate model response (Tassew et al., 2019) provides a defensible starting parameter set for the present study. Finally, the uncertainty literature cautions against over-interpretation of any single calibrated parameter set. Beven and Binley (1992) introduced the generalized likelihood uncertainty estimation framework on the premise that many parameter combinations may simulate observations equally well, and Beven (2006) elevated this observation into the equifinality thesis, arguing that environmental models should be evaluated as sets of acceptable simulators rather than as single optima. While a full uncertainty analysis lies beyond the scope of most application studies, acknowledging parameter equifinality—for example, by reporting calibrated parameter ranges and testing alternative method combinations—is now regarded as good practice, and the methodology of this thesis incorporates that principle.</w:t>
      </w:r>
    </w:p>
    <w:p>
      <w:r>
        <w:rPr>
          <w:b/>
        </w:rPr>
        <w:t>2.9 Synthesis and Research Gap</w:t>
      </w:r>
    </w:p>
    <w:p>
      <w:pPr>
        <w:ind w:firstLine="720"/>
        <w:jc w:val="left"/>
      </w:pPr>
      <w:r>
        <w:t>The reviewed literature supports four conclusions that together define the position of the present study. First, conceptual semi-distributed modeling with HEC-HMS is a mature, extensively validated approach whose default method combination (SCS-CN loss, SCS unit hydrograph transform, Muskingum routing) performs satisfactorily across monsoonal climates, provided that method choices are tested locally and that curve number estimation receives particular care (Halwatura &amp; Najim, 2013; Tassew et al., 2019). Second, the data infrastructure required for such modeling—global DEMs, satellite LULC, and blended precipitation products—is available for Bangladesh, but flat deltaic terrain imposes recognized hazards on automated delineation that must be managed deliberately (Datta et al., 2022; Farr et al., 2007). Third, published Bangladeshi applications of HEC-HMS cluster in large transboundary and piedmont basins (M. B. Haque et al., 2024; Moniruzzaman &amp; Mahalder, 2026; Nujhat et al., 2024; S. Haque et al., 2020); no published study has modeled rainfall–runoff in the beel catchments of the moribund Ganges distributaries, of which the Ichamoti–Gumai Beel system is representative. Fourth, the hydrological problem of such systems is distinctive: inundation is governed by local runoff accumulating behind congested drainage rather than by riverine flood waves (Parvez et al., 2021; Thompson &amp; Sultana, 1996), while the long-term decline of the Ichamoti reflects basin-scale drivers, including post-Farakka flow reduction, that are well documented but have never been connected to a quantitative runoff model of the beel itself (Gain &amp; Giupponi, 2014; Mirza, 1998).</w:t>
      </w:r>
    </w:p>
    <w:p>
      <w:pPr>
        <w:ind w:firstLine="720"/>
        <w:jc w:val="left"/>
      </w:pPr>
      <w:r>
        <w:t>The research gap addressed by this thesis follows directly. A calibrated and validated HEC-HMS rainfall–runoff model of the Gumai Beel catchment will provide the first quantitative estimate of the runoff volumes and hydrograph dynamics that the Ichamoti drainage corridor must convey, thereby supplying the hydrological foundation for drainage design and for evaluation of the ongoing river rejuvenation program. Methodologically, the study extends the Bangladeshi HEC-HMS literature into an ultra-flat, wetland-dominated, data-scarce environment in which DEM limitations, seasonal land-cover alternation, and baseflow-storage behavior pose challenges identified but not resolved in previous work. The methods adopted in Chapter 3—comparative testing of loss and transform methods, field-verified delineation, gauge-primary forcing with reanalysis gap filling, split-sample testing, and performance evaluation against the Moriasi et al. (2007, 2015) criteria—are each grounded in the literature reviewed in this chapter.</w:t>
      </w:r>
    </w:p>
    <w:p>
      <w:r>
        <w:br w:type="page"/>
      </w:r>
    </w:p>
    <w:p>
      <w:pPr>
        <w:jc w:val="center"/>
      </w:pPr>
      <w:r>
        <w:rPr>
          <w:b/>
        </w:rPr>
        <w:t>References</w:t>
      </w:r>
    </w:p>
    <w:p>
      <w:pPr>
        <w:ind w:left="720" w:hanging="720"/>
      </w:pPr>
      <w:r>
        <w:t>Akter, A., &amp; Ali, M. H. (2012). Environmental flow requirements assessment in the Halda River, Bangladesh. Hydrological Sciences Journal, 57(2), 326–343. https://doi.org/10.1080/02626667.2011.644242</w:t>
      </w:r>
    </w:p>
    <w:p>
      <w:pPr>
        <w:ind w:left="720" w:hanging="720"/>
      </w:pPr>
      <w:r>
        <w:t>Aliye, M. A., Aga, A. O., Tadesse, T., &amp; Yohannes, P. (2020). Evaluating the performance of HEC-HMS and SWAT hydrological models in simulating the rainfall-runoff process for data scarce region of Ethiopian Rift Valley Lake Basin. Open Journal of Modern Hydrology, 10(4), 105–122. https://doi.org/10.4236/ojmh.2020.104007</w:t>
      </w:r>
    </w:p>
    <w:p>
      <w:pPr>
        <w:ind w:left="720" w:hanging="720"/>
      </w:pPr>
      <w:r>
        <w:t>Beven, K. (2006). A manifesto for the equifinality thesis. Journal of Hydrology, 320(1–2), 18–36. https://doi.org/10.1016/j.jhydrol.2005.07.007</w:t>
      </w:r>
    </w:p>
    <w:p>
      <w:pPr>
        <w:ind w:left="720" w:hanging="720"/>
      </w:pPr>
      <w:r>
        <w:t>Beven, K. J. (2012). Rainfall-runoff modelling: The primer (2nd ed.). Wiley-Blackwell. https://doi.org/10.1002/9781119951001</w:t>
      </w:r>
    </w:p>
    <w:p>
      <w:pPr>
        <w:ind w:left="720" w:hanging="720"/>
      </w:pPr>
      <w:r>
        <w:t>Beven, K., &amp; Binley, A. (1992). The future of distributed models: Model calibration and uncertainty prediction. Hydrological Processes, 6(3), 279–298. https://doi.org/10.1002/hyp.3360060305</w:t>
      </w:r>
    </w:p>
    <w:p>
      <w:pPr>
        <w:ind w:left="720" w:hanging="720"/>
      </w:pPr>
      <w:r>
        <w:t>Brammer, H. (1990). Floods in Bangladesh: Geographical background to the 1987 and 1988 floods. The Geographical Journal, 156(1), 12–22. https://doi.org/10.2307/635431</w:t>
      </w:r>
    </w:p>
    <w:p>
      <w:pPr>
        <w:ind w:left="720" w:hanging="720"/>
      </w:pPr>
      <w:r>
        <w:t>Chow, V. T., Maidment, D. R., &amp; Mays, L. W. (1988). Applied hydrology. McGraw-Hill.</w:t>
      </w:r>
    </w:p>
    <w:p>
      <w:pPr>
        <w:ind w:left="720" w:hanging="720"/>
      </w:pPr>
      <w:r>
        <w:t>Chu, X., &amp; Steinman, A. (2009). Event and continuous hydrologic modeling with HEC-HMS. Journal of Irrigation and Drainage Engineering, 135(1), 119–124. https://doi.org/10.1061/(ASCE)0733-9437(2009)135:1(119)</w:t>
      </w:r>
    </w:p>
    <w:p>
      <w:pPr>
        <w:ind w:left="720" w:hanging="720"/>
      </w:pPr>
      <w:r>
        <w:t>Datta, S., Karmakar, S., Mezbahuddin, S., Chaudhary, B. S., Hossain, M. M., Hoque, M. E., Abdullah-Al-Mamun, M. M., &amp; Baul, T. K. (2022). The limits of watershed delineation: Implications of different DEMs, DEM resolutions, and area threshold values. Hydrology Research, 53(8), 1047–1062. https://doi.org/10.2166/nh.2022.126</w:t>
      </w:r>
    </w:p>
    <w:p>
      <w:pPr>
        <w:ind w:left="720" w:hanging="720"/>
      </w:pPr>
      <w:r>
        <w:t>Devia, G. K., Ganasri, B. P., &amp; Dwarakish, G. S. (2015). A review on hydrological models. Aquatic Procedia, 4, 1001–1007. https://doi.org/10.1016/j.aqpro.2015.02.126</w:t>
      </w:r>
    </w:p>
    <w:p>
      <w:pPr>
        <w:ind w:left="720" w:hanging="720"/>
      </w:pPr>
      <w:r>
        <w:t>Farr, T. G., Rosen, P. A., Caro, E., Crippen, R., Duren, R., Hensley, S., Kobrick, M., Paller, M., Rodriguez, E., Roth, L., Seal, D., Shaffer, S., Shimada, J., Umland, J., Werner, M., Oskin, M., Burbank, D., &amp; Alsdorf, D. (2007). The Shuttle Radar Topography Mission. Reviews of Geophysics, 45(2), RG2004. https://doi.org/10.1029/2005RG000183</w:t>
      </w:r>
    </w:p>
    <w:p>
      <w:pPr>
        <w:ind w:left="720" w:hanging="720"/>
      </w:pPr>
      <w:r>
        <w:t>Fleming, M. J., &amp; Doan, J. H. (2013). HEC-GeoHMS geospatial hydrologic modeling extension: User’s manual (Version 10.1). U.S. Army Corps of Engineers, Hydrologic Engineering Center.</w:t>
      </w:r>
    </w:p>
    <w:p>
      <w:pPr>
        <w:ind w:left="720" w:hanging="720"/>
      </w:pPr>
      <w:r>
        <w:t>Funk, C., Peterson, P., Landsfeld, M., Pedreros, D., Verdin, J., Shukla, S., Husak, G., Rowland, J., Harrison, L., Hoell, A., &amp; Michaelsen, J. (2015). The climate hazards infrared precipitation with stations—A new environmental record for monitoring extremes. Scientific Data, 2, Article 150066. https://doi.org/10.1038/sdata.2015.66</w:t>
      </w:r>
    </w:p>
    <w:p>
      <w:pPr>
        <w:ind w:left="720" w:hanging="720"/>
      </w:pPr>
      <w:r>
        <w:t>Gain, A. K., &amp; Giupponi, C. (2014). Impact of the Farakka Dam on thresholds of the hydrologic flow regime in the Lower Ganges River Basin (Bangladesh). Water, 6(8), 2501–2518. https://doi.org/10.3390/w6082501</w:t>
      </w:r>
    </w:p>
    <w:p>
      <w:pPr>
        <w:ind w:left="720" w:hanging="720"/>
      </w:pPr>
      <w:r>
        <w:t>Gilewski, P., &amp; Nawalany, M. (2018). Inter-comparison of rain-gauge, radar, and satellite (IMERG GPM) precipitation estimates performance for rainfall-runoff modeling in a mountainous catchment in Poland. Water, 10(11), Article 1665. https://doi.org/10.3390/w10111665</w:t>
      </w:r>
    </w:p>
    <w:p>
      <w:pPr>
        <w:ind w:left="720" w:hanging="720"/>
      </w:pPr>
      <w:r>
        <w:t>Gupta, H. V., Kling, H., Yilmaz, K. K., &amp; Martinez, G. F. (2009). Decomposition of the mean squared error and NSE performance criteria: Implications for improving hydrological modelling. Journal of Hydrology, 377(1–2), 80–91. https://doi.org/10.1016/j.jhydrol.2009.08.003</w:t>
      </w:r>
    </w:p>
    <w:p>
      <w:pPr>
        <w:ind w:left="720" w:hanging="720"/>
      </w:pPr>
      <w:r>
        <w:t>Halwatura, D., &amp; Najim, M. M. M. (2013). Application of the HEC-HMS model for runoff simulation in a tropical catchment. Environmental Modelling &amp; Software, 46, 155–162. https://doi.org/10.1016/j.envsoft.2013.03.006</w:t>
      </w:r>
    </w:p>
    <w:p>
      <w:pPr>
        <w:ind w:left="720" w:hanging="720"/>
      </w:pPr>
      <w:r>
        <w:t>Haque, M. B., Karmakar, S., &amp; Hossain, M. M. (2024). Rainfall-runoff modeling using the HEC-HMS flow modeling framework for the Halda River catchment, Bangladesh [Preprint]. Research Square. https://doi.org/10.21203/rs.3.rs-3824469/v1</w:t>
      </w:r>
    </w:p>
    <w:p>
      <w:pPr>
        <w:ind w:left="720" w:hanging="720"/>
      </w:pPr>
      <w:r>
        <w:t>Haque, S., Ali, M. M., Islam, A. K. M. S., &amp; Khan, M. J. U. (2020). Changes in flow and sediment load of poorly gauged Brahmaputra river basin under an extreme climate scenario. Journal of Water and Climate Change, 12(3), 937–954. https://doi.org/10.2166/wcc.2020.219</w:t>
      </w:r>
    </w:p>
    <w:p>
      <w:pPr>
        <w:ind w:left="720" w:hanging="720"/>
      </w:pPr>
      <w:r>
        <w:t>Hersbach, H., Bell, B., Berrisford, P., Hirahara, S., Horányi, A., Muñoz-Sabater, J., Nicolas, J., Peubey, C., Radu, R., Schepers, D., Simmons, A., Soci, C., Abdalla, S., Abellan, X., Balsamo, G., Bechtold, P., Biavati, G., Bidlot, J., Bonavita, M., … Thépaut, J.-N. (2020). The ERA5 global reanalysis. Quarterly Journal of the Royal Meteorological Society, 146(730), 1999–2049. https://doi.org/10.1002/qj.3803</w:t>
      </w:r>
    </w:p>
    <w:p>
      <w:pPr>
        <w:ind w:left="720" w:hanging="720"/>
      </w:pPr>
      <w:r>
        <w:t>Ichhamati now a trickle. (2019). The Daily Star. https://www.thedailystar.net/backpage/news/ichhamati-now-trickle-1828042</w:t>
      </w:r>
    </w:p>
    <w:p>
      <w:pPr>
        <w:ind w:left="720" w:hanging="720"/>
      </w:pPr>
      <w:r>
        <w:t>Klemeš, V. (1986). Operational testing of hydrological simulation models. Hydrological Sciences Journal, 31(1), 13–24. https://doi.org/10.1080/02626668609491024</w:t>
      </w:r>
    </w:p>
    <w:p>
      <w:pPr>
        <w:ind w:left="720" w:hanging="720"/>
      </w:pPr>
      <w:r>
        <w:t>Knebl, M. R., Yang, Z.-L., Hutchison, K., &amp; Maidment, D. R. (2005). Regional scale flood modeling using NEXRAD rainfall, GIS, and HEC-HMS/RAS: A case study for the San Antonio River Basin summer 2002 storm event. Journal of Environmental Management, 75(4), 325–336. https://doi.org/10.1016/j.jenvman.2004.11.024</w:t>
      </w:r>
    </w:p>
    <w:p>
      <w:pPr>
        <w:ind w:left="720" w:hanging="720"/>
      </w:pPr>
      <w:r>
        <w:t>Meenu, R., Rehana, S., &amp; Mujumdar, P. P. (2013). Assessment of hydrologic impacts of climate change in Tunga–Bhadra river basin, India with HEC-HMS and SDSM. Hydrological Processes, 27(11), 1572–1589. https://doi.org/10.1002/hyp.9220</w:t>
      </w:r>
    </w:p>
    <w:p>
      <w:pPr>
        <w:ind w:left="720" w:hanging="720"/>
      </w:pPr>
      <w:r>
        <w:t>Mirza, M. M. Q. (1998). Diversion of the Ganges water at Farakka and its effects on salinity in Bangladesh. Environmental Management, 22(5), 711–722. https://doi.org/10.1007/s002679900141</w:t>
      </w:r>
    </w:p>
    <w:p>
      <w:pPr>
        <w:ind w:left="720" w:hanging="720"/>
      </w:pPr>
      <w:r>
        <w:t>Mishra, S. K., &amp; Singh, V. P. (2003). Soil Conservation Service Curve Number (SCS-CN) methodology. Springer. https://doi.org/10.1007/978-94-017-0147-1</w:t>
      </w:r>
    </w:p>
    <w:p>
      <w:pPr>
        <w:ind w:left="720" w:hanging="720"/>
      </w:pPr>
      <w:r>
        <w:t>Mitsch, W. J., &amp; Gosselink, J. G. (2015). Wetlands (5th ed.). John Wiley &amp; Sons.</w:t>
      </w:r>
    </w:p>
    <w:p>
      <w:pPr>
        <w:ind w:left="720" w:hanging="720"/>
      </w:pPr>
      <w:r>
        <w:t>Moniruzzaman, M., &amp; Mahalder, B. (2026). Assessing SWAT and HEC-HMS model efficiency for watershed management in the Atrai-Karatoa River Basin, Bangladesh. Evolving Earth, 4, Article 100136. https://doi.org/10.1016/j.eve.2026.100136</w:t>
      </w:r>
    </w:p>
    <w:p>
      <w:pPr>
        <w:ind w:left="720" w:hanging="720"/>
      </w:pPr>
      <w:r>
        <w:t>Moriasi, D. N., Arnold, J. G., Van Liew, M. W., Bingner, R. L., Harmel, R. D., &amp; Veith, T. L. (2007). Model evaluation guidelines for systematic quantification of accuracy in watershed simulations. Transactions of the ASABE, 50(3), 885–900. https://doi.org/10.13031/2013.23153</w:t>
      </w:r>
    </w:p>
    <w:p>
      <w:pPr>
        <w:ind w:left="720" w:hanging="720"/>
      </w:pPr>
      <w:r>
        <w:t>Moriasi, D. N., Gitau, M. W., Pai, N., &amp; Daggupati, P. (2015). Hydrologic and water quality models: Performance measures and evaluation criteria. Transactions of the ASABE, 58(6), 1763–1785. https://doi.org/10.13031/trans.58.10715</w:t>
      </w:r>
    </w:p>
    <w:p>
      <w:pPr>
        <w:ind w:left="720" w:hanging="720"/>
      </w:pPr>
      <w:r>
        <w:t>Nash, J. E., &amp; Sutcliffe, J. V. (1970). River flow forecasting through conceptual models part I—A discussion of principles. Journal of Hydrology, 10(3), 282–290. https://doi.org/10.1016/0022-1694(70)90255-6</w:t>
      </w:r>
    </w:p>
    <w:p>
      <w:pPr>
        <w:ind w:left="720" w:hanging="720"/>
      </w:pPr>
      <w:r>
        <w:t>Nujhat, M., Rayhan, M., &amp; Amin, M. K. (2024). Hydrological modelling and its implication in sustainable water resource management in Gumti River Basin in Bangladesh. International Journal of Sustainability in Energy and Environment, 1(2), 40–48.</w:t>
      </w:r>
    </w:p>
    <w:p>
      <w:pPr>
        <w:ind w:left="720" w:hanging="720"/>
      </w:pPr>
      <w:r>
        <w:t>Oleyiblo, J. O., &amp; Li, Z. (2010). Application of HEC-HMS for flood forecasting in Misai and Wan’an catchments in China. Water Science and Engineering, 3(1), 14–22. https://doi.org/10.3882/j.issn.1674-2370.2010.01.002</w:t>
      </w:r>
    </w:p>
    <w:p>
      <w:pPr>
        <w:ind w:left="720" w:hanging="720"/>
      </w:pPr>
      <w:r>
        <w:t>Parvez, M., Sadat, N., Tasnim, F., &amp; Nejhum, I. J. (2021). Identifying the causes of waterlogging on people’s perception towards a resilient community: A case study on Pabna Municipality, Bangladesh. Ecofeminism and Climate Change, 2(3), 110–126. https://doi.org/10.1108/EFCC-11-2020-0033</w:t>
      </w:r>
    </w:p>
    <w:p>
      <w:pPr>
        <w:ind w:left="720" w:hanging="720"/>
      </w:pPr>
      <w:r>
        <w:t>Ponce, V. M., &amp; Hawkins, R. H. (1996). Runoff curve number: Has it reached maturity? Journal of Hydrologic Engineering, 1(1), 11–19. https://doi.org/10.1061/(ASCE)1084-0699(1996)1:1(11)</w:t>
      </w:r>
    </w:p>
    <w:p>
      <w:pPr>
        <w:ind w:left="720" w:hanging="720"/>
      </w:pPr>
      <w:r>
        <w:t>Raihan, F., Beaumont, L. J., Maina, J., Saiful Islam, A. K. M., &amp; Harrison, S. P. (2020). Simulating streamflow in the Upper Halda Basin of southeastern Bangladesh using SWAT model. Hydrological Sciences Journal, 65(1), 138–151. https://doi.org/10.1080/02626667.2019.1682149</w:t>
      </w:r>
    </w:p>
    <w:p>
      <w:pPr>
        <w:ind w:left="720" w:hanging="720"/>
      </w:pPr>
      <w:r>
        <w:t>Singh, V. P., &amp; Woolhiser, D. A. (2002). Mathematical modeling of watershed hydrology. Journal of Hydrologic Engineering, 7(4), 270–292. https://doi.org/10.1061/(ASCE)1084-0699(2002)7:4(270)</w:t>
      </w:r>
    </w:p>
    <w:p>
      <w:pPr>
        <w:ind w:left="720" w:hanging="720"/>
      </w:pPr>
      <w:r>
        <w:t>Tassew, B. G., Belete, M. A., &amp; Miegel, K. (2019). Application of HEC-HMS model for flow simulation in the Lake Tana Basin: The case of Gilgel Abay catchment, Upper Blue Nile Basin, Ethiopia. Hydrology, 6(1), Article 21. https://doi.org/10.3390/hydrology6010021</w:t>
      </w:r>
    </w:p>
    <w:p>
      <w:pPr>
        <w:ind w:left="720" w:hanging="720"/>
      </w:pPr>
      <w:r>
        <w:t>Thompson, P. M., &amp; Sultana, P. (1996). Distributional and social impacts of flood control in Bangladesh. The Geographical Journal, 162(1), 1–13. https://doi.org/10.2307/3060212</w:t>
      </w:r>
    </w:p>
    <w:p>
      <w:pPr>
        <w:ind w:left="720" w:hanging="720"/>
      </w:pPr>
      <w:r>
        <w:t>Tk 1,554cr project to revive dying Ichamati. (2024). The Daily Star. https://www.thedailystar.net/news/bangladesh/news/tk-1554cr-project-revive-dying-ichamati-3555931</w:t>
      </w:r>
    </w:p>
    <w:p>
      <w:pPr>
        <w:ind w:left="720" w:hanging="720"/>
      </w:pPr>
      <w:r>
        <w:t>U.S. Army Corps of Engineers. (2000). Hydrologic Modeling System HEC-HMS: Technical reference manual. Hydrologic Engineering Center.</w:t>
      </w:r>
    </w:p>
    <w:p>
      <w:pPr>
        <w:ind w:left="720" w:hanging="720"/>
      </w:pPr>
      <w:r>
        <w:t>USDA Soil Conservation Service. (1985). National engineering handbook, Section 4: Hydrology. U.S. Department of Agriculture.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