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BANKING77 Member 1 Report Sections</w:t>
      </w:r>
    </w:p>
    <w:p>
      <w:pPr>
        <w:pStyle w:val="Subtitle"/>
      </w:pPr>
      <w:r>
        <w:t>Anil Kumar Reddy K | Group 15 | PCAM ZG516 Applied Generative AI</w:t>
      </w:r>
    </w:p>
    <w:p>
      <w:r>
        <w:t>This contribution supplies the problem definition, dataset preparation and causal language model baseline for the group banking assistant. The accompanying notebook includes reproducible subsets and three actual baseline generations. These sections can be merged into the group technical report using the assignment numbering below.</w:t>
      </w:r>
    </w:p>
    <w:p>
      <w:pPr>
        <w:pStyle w:val="Heading1"/>
      </w:pPr>
      <w:r>
        <w:t>2 Problem statement and motivation</w:t>
      </w:r>
    </w:p>
    <w:p>
      <w:pPr>
        <w:pStyle w:val="Heading2"/>
      </w:pPr>
      <w:r>
        <w:t>2 1 User problem and application scope</w:t>
      </w:r>
    </w:p>
    <w:p>
      <w:r>
        <w:t>Customers describe banking problems in varied language, while support systems must distinguish closely related goals such as a pending transfer, a failed transfer and a transfer not received by the recipient. Our prototype accepts a short English banking query, selects one of the 77 BANKING77 intents, and generates a short customer-facing response. A valid optional tool request can invoke a synthetic transaction-status lookup in the group workflow.</w:t>
      </w:r>
    </w:p>
    <w:p>
      <w:r>
        <w:t>The target user is a customer seeking help with a banking service. The expected output is a JSON object with intent, response, action_required, tool_name and tool_arguments. The label supports routing; the response acknowledges the request and directs account-specific questions to an official bank channel. All demonstrations use public dataset utterances or explicitly synthetic transaction IDs.</w:t>
      </w:r>
    </w:p>
    <w:p>
      <w:pPr>
        <w:pStyle w:val="Heading2"/>
      </w:pPr>
      <w:r>
        <w:t>2 2 Why a generative model is appropriate</w:t>
      </w:r>
    </w:p>
    <w:p>
      <w:r>
        <w:t>A pretrained causal language model can interpret the customer message and generate both a structured intent decision and a readable explanation in one parameterized workflow. Prompt-based adaptation makes it possible to compare instructions and examples without training model weights. A conventional classifier would also be a sensible intent-only baseline; the LLM is selected here because the assignment additionally studies response generation, decoding and tool decisions.</w:t>
      </w:r>
    </w:p>
    <w:p>
      <w:pPr>
        <w:pStyle w:val="Heading2"/>
      </w:pPr>
      <w:r>
        <w:t>2 3 Success criteria and limits</w:t>
      </w:r>
    </w:p>
    <w:p>
      <w:r>
        <w:t>We assess intent correctness, schema validity and manually reviewed response relevance and safety separately. Tool eligibility and argument validity require their own checks because BANKING77 contains no tool-call annotations. A fluent response or valid JSON does not establish factual correctness. The prototype has no authenticated bank connection and must not claim to block cards, complete transfers or access real balances.</w:t>
      </w:r>
    </w:p>
    <w:p>
      <w:r>
        <w:t>The three E1 examples establish observable baseline behavior. They do not estimate performance across 77 classes. Broader comparative conclusions belong in the group evaluation after the development and reserved-test experiments have been run.</w:t>
      </w:r>
    </w:p>
    <w:p>
      <w:r>
        <w:br w:type="page"/>
      </w:r>
    </w:p>
    <w:p>
      <w:pPr>
        <w:pStyle w:val="Heading1"/>
      </w:pPr>
      <w:r>
        <w:t>3 Dataset description and preparation</w:t>
      </w:r>
    </w:p>
    <w:p>
      <w:pPr>
        <w:pStyle w:val="Heading2"/>
      </w:pPr>
      <w:r>
        <w:t>3 1 Source and data fields</w:t>
      </w:r>
    </w:p>
    <w:p>
      <w:r>
        <w:t>BANKING77 is a fine-grained, single-domain English intent dataset released by PolyAI. The dataset card reports 13,083 queries: 10,003 training rows and 3,080 test rows, with 77 intents in both splits [1, 2]. The original publisher CSVs use text and category. The notebook preserves the Hugging Face canonical label order when deriving integer labels.</w:t>
      </w:r>
    </w:p>
    <w:tbl>
      <w:tblPr>
        <w:tblW w:type="auto" w:w="0"/>
        <w:jc w:val="center"/>
        <w:tblLayout w:type="fixed"/>
        <w:tblLook w:firstColumn="1" w:firstRow="1" w:lastColumn="0" w:lastRow="0" w:noHBand="0" w:noVBand="1" w:val="04A0"/>
      </w:tblPr>
      <w:tblGrid>
        <w:gridCol w:w="2232"/>
        <w:gridCol w:w="7704"/>
      </w:tblGrid>
      <w:tr>
        <w:trPr>
          <w:tblHeader/>
        </w:trPr>
        <w:tc>
          <w:tcPr>
            <w:tcW w:type="dxa" w:w="2232"/>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Field</w:t>
            </w:r>
          </w:p>
        </w:tc>
        <w:tc>
          <w:tcPr>
            <w:tcW w:type="dxa" w:w="7704"/>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Meaning</w:t>
            </w:r>
          </w:p>
        </w:tc>
      </w:tr>
      <w:t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text</w:t>
            </w:r>
          </w:p>
        </w:tc>
        <w:tc>
          <w:tcPr>
            <w:tcW w:type="dxa" w:w="770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Customer utterance after Unicode and whitespace normalization</w:t>
            </w:r>
          </w:p>
        </w:tc>
      </w:tr>
      <w:tr>
        <w:tc>
          <w:tcPr>
            <w:tcW w:type="dxa" w:w="2232"/>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intent</w:t>
            </w:r>
          </w:p>
        </w:tc>
        <w:tc>
          <w:tcPr>
            <w:tcW w:type="dxa" w:w="7704"/>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Exact category name from the dataset</w:t>
            </w:r>
          </w:p>
        </w:tc>
      </w:tr>
      <w:t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label</w:t>
            </w:r>
          </w:p>
        </w:tc>
        <w:tc>
          <w:tcPr>
            <w:tcW w:type="dxa" w:w="770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Integer 0 to 76 using the canonical Hugging Face order</w:t>
            </w:r>
          </w:p>
        </w:tc>
      </w:tr>
      <w:tr>
        <w:tc>
          <w:tcPr>
            <w:tcW w:type="dxa" w:w="2232"/>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source_id and source_split</w:t>
            </w:r>
          </w:p>
        </w:tc>
        <w:tc>
          <w:tcPr>
            <w:tcW w:type="dxa" w:w="7704"/>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Stable original row identifier and train or test origin</w:t>
            </w:r>
          </w:p>
        </w:tc>
      </w:tr>
      <w:tr>
        <w:tc>
          <w:tcPr>
            <w:tcW w:type="dxa" w:w="223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raw_text and text_key</w:t>
            </w:r>
          </w:p>
        </w:tc>
        <w:tc>
          <w:tcPr>
            <w:tcW w:type="dxa" w:w="770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Original utterance and normalized key for duplicate auditing</w:t>
            </w:r>
          </w:p>
        </w:tc>
      </w:tr>
    </w:tbl>
    <w:p/>
    <w:p>
      <w:r>
        <w:t>The label names are preserved exactly, including Refund_not_showing_up and reverted_card_payment?. The dataset provides no gold customer responses, current bank policy, account facts, or expected tool calls. Generated responses therefore need qualitative review beyond intent accuracy.</w:t>
      </w:r>
    </w:p>
    <w:p>
      <w:pPr>
        <w:pStyle w:val="Heading2"/>
      </w:pPr>
      <w:r>
        <w:t>3 2 Observed dataset properties</w:t>
      </w:r>
    </w:p>
    <w:tbl>
      <w:tblPr>
        <w:tblW w:type="auto" w:w="0"/>
        <w:jc w:val="center"/>
        <w:tblLayout w:type="fixed"/>
        <w:tblLook w:firstColumn="1" w:firstRow="1" w:lastColumn="0" w:lastRow="0" w:noHBand="0" w:noVBand="1" w:val="04A0"/>
      </w:tblPr>
      <w:tblGrid>
        <w:gridCol w:w="7056"/>
        <w:gridCol w:w="2880"/>
      </w:tblGrid>
      <w:tr>
        <w:trPr>
          <w:tblHeader/>
        </w:trPr>
        <w:tc>
          <w:tcPr>
            <w:tcW w:type="dxa" w:w="7056"/>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Property</w:t>
            </w:r>
          </w:p>
        </w:tc>
        <w:tc>
          <w:tcPr>
            <w:tcW w:type="dxa" w:w="2880"/>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Observed value</w:t>
            </w:r>
          </w:p>
        </w:tc>
      </w:tr>
      <w:tr>
        <w:tc>
          <w:tcPr>
            <w:tcW w:type="dxa" w:w="705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Original training and test rows</w:t>
            </w:r>
          </w:p>
        </w:tc>
        <w:tc>
          <w:tcPr>
            <w:tcW w:type="dxa" w:w="28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10,003 and 3,080</w:t>
            </w:r>
          </w:p>
        </w:tc>
      </w:tr>
      <w:tr>
        <w:tc>
          <w:tcPr>
            <w:tcW w:type="dxa" w:w="7056"/>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Training examples per intent</w:t>
            </w:r>
          </w:p>
        </w:tc>
        <w:tc>
          <w:tcPr>
            <w:tcW w:type="dxa" w:w="2880"/>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35 to 187</w:t>
            </w:r>
          </w:p>
        </w:tc>
      </w:tr>
      <w:tr>
        <w:tc>
          <w:tcPr>
            <w:tcW w:type="dxa" w:w="705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Official test examples per intent</w:t>
            </w:r>
          </w:p>
        </w:tc>
        <w:tc>
          <w:tcPr>
            <w:tcW w:type="dxa" w:w="28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40 for each of 77 intents</w:t>
            </w:r>
          </w:p>
        </w:tc>
      </w:tr>
      <w:tr>
        <w:tc>
          <w:tcPr>
            <w:tcW w:type="dxa" w:w="7056"/>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Blank training rows or conflicting normalized labels</w:t>
            </w:r>
          </w:p>
        </w:tc>
        <w:tc>
          <w:tcPr>
            <w:tcW w:type="dxa" w:w="2880"/>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0 and 0</w:t>
            </w:r>
          </w:p>
        </w:tc>
      </w:tr>
      <w:tr>
        <w:tc>
          <w:tcPr>
            <w:tcW w:type="dxa" w:w="705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Duplicate training rows removed</w:t>
            </w:r>
          </w:p>
        </w:tc>
        <w:tc>
          <w:tcPr>
            <w:tcW w:type="dxa" w:w="28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4</w:t>
            </w:r>
          </w:p>
        </w:tc>
      </w:tr>
      <w:tr>
        <w:tc>
          <w:tcPr>
            <w:tcW w:type="dxa" w:w="7056"/>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Training rows overlapping official test text removed</w:t>
            </w:r>
          </w:p>
        </w:tc>
        <w:tc>
          <w:tcPr>
            <w:tcW w:type="dxa" w:w="2880"/>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7</w:t>
            </w:r>
          </w:p>
        </w:tc>
      </w:tr>
      <w:tr>
        <w:tc>
          <w:tcPr>
            <w:tcW w:type="dxa" w:w="705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Duplicate normalized keys within official test</w:t>
            </w:r>
          </w:p>
        </w:tc>
        <w:tc>
          <w:tcPr>
            <w:tcW w:type="dxa" w:w="288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1 duplicate retained in the official benchmark</w:t>
            </w:r>
          </w:p>
        </w:tc>
      </w:tr>
    </w:tbl>
    <w:p/>
    <w:p>
      <w:pPr>
        <w:pStyle w:val="Heading2"/>
      </w:pPr>
      <w:r>
        <w:t>3 3 Representative development utterances</w:t>
      </w:r>
    </w:p>
    <w:p>
      <w:r>
        <w:t>“What I topped up was reverted by the app.”  —  top_up_reverted</w:t>
      </w:r>
    </w:p>
    <w:p>
      <w:r>
        <w:t>“Why can't I use a disposable card?”  —  disposable_card_limits</w:t>
      </w:r>
    </w:p>
    <w:p>
      <w:r>
        <w:t>“The ATM didnt return my card!”  —  card_swallowed</w:t>
      </w:r>
    </w:p>
    <w:p>
      <w:r>
        <w:t>These examples come from the original training split and are held out for development. Their source IDs and exact raw text are retained in the evidence files. Dataset attribution is included under CC BY 4.0 [1].</w:t>
      </w:r>
    </w:p>
    <w:p>
      <w:r>
        <w:br w:type="page"/>
      </w:r>
    </w:p>
    <w:p>
      <w:pPr>
        <w:pStyle w:val="Heading1"/>
      </w:pPr>
      <w:r>
        <w:t>3 Dataset preparation and experimental subsets</w:t>
      </w:r>
    </w:p>
    <w:p>
      <w:pPr>
        <w:pStyle w:val="Heading2"/>
      </w:pPr>
      <w:r>
        <w:t>3 4 Preprocessing procedure</w:t>
      </w:r>
    </w:p>
    <w:p>
      <w:r>
        <w:t>The loader downloads the publisher CSVs at a fixed Git commit. We use NFKC Unicode normalization and collapse whitespace, while preserving the casing, punctuation and wording supplied to the model. A separate case-folded key is used for comparison only. No stemming, stop-word removal, translation, paraphrasing or synthetic training augmentation is applied.</w:t>
      </w:r>
    </w:p>
    <w:p>
      <w:r>
        <w:t>The preparation stage checks schema, label membership and source sizes; excludes blank or conflicting training records; removes repeated normalized training queries; and excludes training queries whose normalized text occurs in the official test split. Duplicate test records remain in place to retain the official benchmark definition. The resulting 9,992 unique training records are stratified by intent into 8,992 working training rows and 1,000 validation rows using seed 42.</w:t>
      </w:r>
    </w:p>
    <w:tbl>
      <w:tblPr>
        <w:tblW w:type="auto" w:w="0"/>
        <w:jc w:val="center"/>
        <w:tblLayout w:type="fixed"/>
        <w:tblLook w:firstColumn="1" w:firstRow="1" w:lastColumn="0" w:lastRow="0" w:noHBand="0" w:noVBand="1" w:val="04A0"/>
      </w:tblPr>
      <w:tblGrid>
        <w:gridCol w:w="3312"/>
        <w:gridCol w:w="936"/>
        <w:gridCol w:w="5688"/>
      </w:tblGrid>
      <w:tr>
        <w:trPr>
          <w:tblHeader/>
        </w:trPr>
        <w:tc>
          <w:tcPr>
            <w:tcW w:type="dxa" w:w="3312"/>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Subset</w:t>
            </w:r>
          </w:p>
        </w:tc>
        <w:tc>
          <w:tcPr>
            <w:tcW w:type="dxa" w:w="936"/>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Rows</w:t>
            </w:r>
          </w:p>
        </w:tc>
        <w:tc>
          <w:tcPr>
            <w:tcW w:type="dxa" w:w="5688"/>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Purpose</w:t>
            </w:r>
          </w:p>
        </w:tc>
      </w:tr>
      <w:tr>
        <w:tc>
          <w:tcPr>
            <w:tcW w:type="dxa" w:w="33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Working training split</w:t>
            </w:r>
          </w:p>
        </w:tc>
        <w:tc>
          <w:tcPr>
            <w:tcW w:type="dxa" w:w="93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8,992</w:t>
            </w:r>
          </w:p>
        </w:tc>
        <w:tc>
          <w:tcPr>
            <w:tcW w:type="dxa" w:w="568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Source for in-context example selection</w:t>
            </w:r>
          </w:p>
        </w:tc>
      </w:tr>
      <w:tr>
        <w:tc>
          <w:tcPr>
            <w:tcW w:type="dxa" w:w="3312"/>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Validation split</w:t>
            </w:r>
          </w:p>
        </w:tc>
        <w:tc>
          <w:tcPr>
            <w:tcW w:type="dxa" w:w="936"/>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1,000</w:t>
            </w:r>
          </w:p>
        </w:tc>
        <w:tc>
          <w:tcPr>
            <w:tcW w:type="dxa" w:w="5688"/>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Development data held apart from examples</w:t>
            </w:r>
          </w:p>
        </w:tc>
      </w:tr>
      <w:tr>
        <w:tc>
          <w:tcPr>
            <w:tcW w:type="dxa" w:w="33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Few-shot pool</w:t>
            </w:r>
          </w:p>
        </w:tc>
        <w:tc>
          <w:tcPr>
            <w:tcW w:type="dxa" w:w="93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77</w:t>
            </w:r>
          </w:p>
        </w:tc>
        <w:tc>
          <w:tcPr>
            <w:tcW w:type="dxa" w:w="568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One working-training example per intent</w:t>
            </w:r>
          </w:p>
        </w:tc>
      </w:tr>
      <w:tr>
        <w:tc>
          <w:tcPr>
            <w:tcW w:type="dxa" w:w="3312"/>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In-prompt few-shot examples</w:t>
            </w:r>
          </w:p>
        </w:tc>
        <w:tc>
          <w:tcPr>
            <w:tcW w:type="dxa" w:w="936"/>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4</w:t>
            </w:r>
          </w:p>
        </w:tc>
        <w:tc>
          <w:tcPr>
            <w:tcW w:type="dxa" w:w="5688"/>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Fixed sample from the 77-row pool</w:t>
            </w:r>
          </w:p>
        </w:tc>
      </w:tr>
      <w:tr>
        <w:tc>
          <w:tcPr>
            <w:tcW w:type="dxa" w:w="33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Development evaluation</w:t>
            </w:r>
          </w:p>
        </w:tc>
        <w:tc>
          <w:tcPr>
            <w:tcW w:type="dxa" w:w="93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40</w:t>
            </w:r>
          </w:p>
        </w:tc>
        <w:tc>
          <w:tcPr>
            <w:tcW w:type="dxa" w:w="568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One validation row for each of 40 seeded intents</w:t>
            </w:r>
          </w:p>
        </w:tc>
      </w:tr>
      <w:tr>
        <w:tc>
          <w:tcPr>
            <w:tcW w:type="dxa" w:w="3312"/>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Official test pilot</w:t>
            </w:r>
          </w:p>
        </w:tc>
        <w:tc>
          <w:tcPr>
            <w:tcW w:type="dxa" w:w="936"/>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40</w:t>
            </w:r>
          </w:p>
        </w:tc>
        <w:tc>
          <w:tcPr>
            <w:tcW w:type="dxa" w:w="5688"/>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One official-test row for the same 40 intents</w:t>
            </w:r>
          </w:p>
        </w:tc>
      </w:tr>
      <w:tr>
        <w:tc>
          <w:tcPr>
            <w:tcW w:type="dxa" w:w="33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E1 baseline examples</w:t>
            </w:r>
          </w:p>
        </w:tc>
        <w:tc>
          <w:tcPr>
            <w:tcW w:type="dxa" w:w="93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3</w:t>
            </w:r>
          </w:p>
        </w:tc>
        <w:tc>
          <w:tcPr>
            <w:tcW w:type="dxa" w:w="568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A seeded sample of development evaluation rows</w:t>
            </w:r>
          </w:p>
        </w:tc>
      </w:tr>
    </w:tbl>
    <w:p/>
    <w:p>
      <w:pPr>
        <w:pStyle w:val="Heading2"/>
      </w:pPr>
      <w:r>
        <w:t>3 5 Leakage controls and coverage</w:t>
      </w:r>
    </w:p>
    <w:p>
      <w:r>
        <w:t>Assertions confirm disjoint normalized text across working training, validation and official test sets. The few-shot pool is disjoint from development queries. Prompt comparisons and decoding studies use development data; the test pilot is reserved for inference after prompt choices are fixed. Test text is inspected for duplicate auditing, without using test predictions to choose prompts.</w:t>
      </w:r>
    </w:p>
    <w:p>
      <w:r>
        <w:t>Forty examples cannot cover 77 intents. Both pilots intentionally cover the same 40 seeded intents; results must state that limited coverage. The full 3,080-row test option remains available in the notebook. Few-shot examples are inserted into prompts and do not update model weights.</w:t>
      </w:r>
    </w:p>
    <w:p>
      <w:pPr>
        <w:pStyle w:val="Heading2"/>
      </w:pPr>
      <w:r>
        <w:t>3 6 Reproducibility records</w:t>
      </w:r>
    </w:p>
    <w:p>
      <w:r>
        <w:t>The notebook records the seed, dataset and model revisions, source byte hashes, subset source IDs, exact prompts, outputs, token counts, latency and package versions. class_counts.csv and data_audit.json provide auditable counts. The archived source CSVs support reconstruction without relying on a moving dataset revision. Seeds improve repeatability, but hardware and library versions can change generated output.</w:t>
      </w:r>
    </w:p>
    <w:p>
      <w:r>
        <w:br w:type="page"/>
      </w:r>
    </w:p>
    <w:p>
      <w:pPr>
        <w:pStyle w:val="Heading1"/>
      </w:pPr>
      <w:r>
        <w:t>6 Baseline LLM implementation</w:t>
      </w:r>
    </w:p>
    <w:p>
      <w:pPr>
        <w:pStyle w:val="Heading2"/>
      </w:pPr>
      <w:r>
        <w:t>6 1 Model and inference workflow</w:t>
      </w:r>
    </w:p>
    <w:p>
      <w:r>
        <w:t>The baseline uses Qwen/Qwen2.5-1.5B-Instruct through Hugging Face AutoTokenizer and AutoModelForCausalLM [3]. It is a pretrained causal Transformer used without fine-tuning. The tokenizer applies the model chat template, and the generated prompt is tokenized with add_special_tokens=False to avoid duplicating template tokens [4]. The language model generates new tokens autoregressively; decoding returns only the continuation, excluding the prompt.</w:t>
      </w:r>
    </w:p>
    <w:p>
      <w:r>
        <w:t>The simple task instruction is “Classify the banking request and write a safe response. Return JSON.” It is combined with the exact 77-label list and a shared minimum safety and output contract. No few-shot examples or tools are enabled for E1. Greedy decoding uses do_sample=False and max_new_tokens=180. The verified run used CPU float32; Colab uses float16 when CUDA is available.</w:t>
      </w:r>
    </w:p>
    <w:p>
      <w:pPr>
        <w:pStyle w:val="Heading2"/>
      </w:pPr>
      <w:r>
        <w:t>6 2 Output validation</w:t>
      </w:r>
    </w:p>
    <w:p>
      <w:r>
        <w:t>The strict parser accepts one bare JSON object and rejects Markdown fences, extra prose, duplicate keys and nonfinite JSON constants. The validator checks field names, types, approved labels and tool/action consistency. An invalid output is retained for analysis and is not accepted for a downstream tool call. E1 does not silently strip wrappers or repair generated content.</w:t>
      </w:r>
    </w:p>
    <w:p>
      <w:pPr>
        <w:pStyle w:val="Heading2"/>
      </w:pPr>
      <w:r>
        <w:t>6 3 Three observed baseline generations</w:t>
      </w:r>
    </w:p>
    <w:tbl>
      <w:tblPr>
        <w:tblW w:type="auto" w:w="0"/>
        <w:jc w:val="center"/>
        <w:tblLayout w:type="fixed"/>
        <w:tblLook w:firstColumn="1" w:firstRow="1" w:lastColumn="0" w:lastRow="0" w:noHBand="0" w:noVBand="1" w:val="04A0"/>
      </w:tblPr>
      <w:tblGrid>
        <w:gridCol w:w="936"/>
        <w:gridCol w:w="4824"/>
        <w:gridCol w:w="1728"/>
        <w:gridCol w:w="2448"/>
      </w:tblGrid>
      <w:tr>
        <w:trPr>
          <w:tblHeader/>
        </w:trPr>
        <w:tc>
          <w:tcPr>
            <w:tcW w:type="dxa" w:w="936"/>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Example</w:t>
            </w:r>
          </w:p>
        </w:tc>
        <w:tc>
          <w:tcPr>
            <w:tcW w:type="dxa" w:w="4824"/>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Gold intent</w:t>
            </w:r>
          </w:p>
        </w:tc>
        <w:tc>
          <w:tcPr>
            <w:tcW w:type="dxa" w:w="1728"/>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Strict schema</w:t>
            </w:r>
          </w:p>
        </w:tc>
        <w:tc>
          <w:tcPr>
            <w:tcW w:type="dxa" w:w="2448"/>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Seconds</w:t>
            </w:r>
          </w:p>
        </w:tc>
      </w:tr>
      <w:tr>
        <w:tc>
          <w:tcPr>
            <w:tcW w:type="dxa" w:w="93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1</w:t>
            </w:r>
          </w:p>
        </w:tc>
        <w:tc>
          <w:tcPr>
            <w:tcW w:type="dxa" w:w="482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top up reverted</w:t>
            </w:r>
          </w:p>
        </w:tc>
        <w:tc>
          <w:tcPr>
            <w:tcW w:type="dxa" w:w="17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Rejected</w:t>
            </w:r>
          </w:p>
        </w:tc>
        <w:tc>
          <w:tcPr>
            <w:tcW w:type="dxa" w:w="24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37.269</w:t>
            </w:r>
          </w:p>
        </w:tc>
      </w:tr>
      <w:tr>
        <w:tc>
          <w:tcPr>
            <w:tcW w:type="dxa" w:w="936"/>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2</w:t>
            </w:r>
          </w:p>
        </w:tc>
        <w:tc>
          <w:tcPr>
            <w:tcW w:type="dxa" w:w="4824"/>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disposable card limits</w:t>
            </w:r>
          </w:p>
        </w:tc>
        <w:tc>
          <w:tcPr>
            <w:tcW w:type="dxa" w:w="1728"/>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Rejected</w:t>
            </w:r>
          </w:p>
        </w:tc>
        <w:tc>
          <w:tcPr>
            <w:tcW w:type="dxa" w:w="2448"/>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40.904</w:t>
            </w:r>
          </w:p>
        </w:tc>
      </w:tr>
      <w:tr>
        <w:tc>
          <w:tcPr>
            <w:tcW w:type="dxa" w:w="936"/>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3</w:t>
            </w:r>
          </w:p>
        </w:tc>
        <w:tc>
          <w:tcPr>
            <w:tcW w:type="dxa" w:w="482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card swallowed</w:t>
            </w:r>
          </w:p>
        </w:tc>
        <w:tc>
          <w:tcPr>
            <w:tcW w:type="dxa" w:w="172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Rejected</w:t>
            </w:r>
          </w:p>
        </w:tc>
        <w:tc>
          <w:tcPr>
            <w:tcW w:type="dxa" w:w="244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42.126</w:t>
            </w:r>
          </w:p>
        </w:tc>
      </w:tr>
    </w:tbl>
    <w:p/>
    <w:p>
      <w:r>
        <w:t>The strict pipeline accepted 0 of 3 outputs and recovered 0 correct validated intent decisions. These are three-case observations, not an estimate of general accuracy. The raw generations are stored in E1_baseline_outputs.jsonl and displayed in the notebook. E1_manual_review.csv records qualitative review separately.</w:t>
      </w:r>
    </w:p>
    <w:p>
      <w:r>
        <w:t>Example 1. The visible generated label was top_up_reverted. It also requested an action with no tool name. Validation: JSON parse error: Unexpected text before JSON object. The suggestion to retry a reverted top-up is not grounded in transaction details and needs safer guidance.</w:t>
      </w:r>
    </w:p>
    <w:p>
      <w:r>
        <w:t>Example 2. The visible generated label was why_can_t_i_use_a_disposable_card. Validation: Intent is not one of the 77 approved labels. This is an invented label instead of the approved disposable_card_limits intent.</w:t>
      </w:r>
    </w:p>
    <w:p>
      <w:r>
        <w:t>Example 3. The visible generated label was lost_or_stolen_card. Validation: Tool is not allowlisted; A requested action must name the allowlisted tool. The response asked for a card number, violating the prompt privacy rule. The gold intent was card_swallowed. This unsafe response must not be shown as approved customer guidance.</w:t>
      </w:r>
    </w:p>
    <w:p>
      <w:pPr>
        <w:pStyle w:val="Heading2"/>
      </w:pPr>
      <w:r>
        <w:t>6 4 Evidence and further evaluation</w:t>
      </w:r>
    </w:p>
    <w:p>
      <w:r>
        <w:t>The actual baseline reveals where stronger prompting and validation are needed. The group should compare all prompt variants on development data, lock the final variant, and then run the reserved test comparison. Manual safety and relevance review is required even for accepted JSON. The supplied report does not claim that those optional group experiments have been completed.</w:t>
      </w:r>
    </w:p>
    <w:p>
      <w:r>
        <w:br w:type="page"/>
      </w:r>
    </w:p>
    <w:p>
      <w:pPr>
        <w:pStyle w:val="Heading1"/>
      </w:pPr>
      <w:r>
        <w:t>Reproducibility and sources</w:t>
      </w:r>
    </w:p>
    <w:p>
      <w:pPr>
        <w:pStyle w:val="Heading2"/>
      </w:pPr>
      <w:r>
        <w:t>Verified runtime</w:t>
      </w:r>
    </w:p>
    <w:tbl>
      <w:tblPr>
        <w:tblW w:type="auto" w:w="0"/>
        <w:jc w:val="center"/>
        <w:tblLayout w:type="fixed"/>
        <w:tblLook w:firstColumn="1" w:firstRow="1" w:lastColumn="0" w:lastRow="0" w:noHBand="0" w:noVBand="1" w:val="04A0"/>
      </w:tblPr>
      <w:tblGrid>
        <w:gridCol w:w="3024"/>
        <w:gridCol w:w="6912"/>
      </w:tblGrid>
      <w:tr>
        <w:trPr>
          <w:tblHeader/>
        </w:trPr>
        <w:tc>
          <w:tcPr>
            <w:tcW w:type="dxa" w:w="3024"/>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Component</w:t>
            </w:r>
          </w:p>
        </w:tc>
        <w:tc>
          <w:tcPr>
            <w:tcW w:type="dxa" w:w="6912"/>
            <w:vAlign w:val="center"/>
            <w:shd w:fill="DCE6F1"/>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sz w:val="19"/>
              </w:rPr>
              <w:t>Recorded value</w:t>
            </w:r>
          </w:p>
        </w:tc>
      </w:tr>
      <w:tr>
        <w:tc>
          <w:tcPr>
            <w:tcW w:type="dxa" w:w="302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Execution</w:t>
            </w:r>
          </w:p>
        </w:tc>
        <w:tc>
          <w:tcPr>
            <w:tcW w:type="dxa" w:w="69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Python 3.12.14 on CPU with torch.float32</w:t>
            </w:r>
          </w:p>
        </w:tc>
      </w:tr>
      <w:tr>
        <w:tc>
          <w:tcPr>
            <w:tcW w:type="dxa" w:w="3024"/>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Model</w:t>
            </w:r>
          </w:p>
        </w:tc>
        <w:tc>
          <w:tcPr>
            <w:tcW w:type="dxa" w:w="6912"/>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Qwen/Qwen2.5-1.5B-Instruct</w:t>
            </w:r>
          </w:p>
        </w:tc>
      </w:tr>
      <w:tr>
        <w:tc>
          <w:tcPr>
            <w:tcW w:type="dxa" w:w="302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Transformers and Torch</w:t>
            </w:r>
          </w:p>
        </w:tc>
        <w:tc>
          <w:tcPr>
            <w:tcW w:type="dxa" w:w="69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4.46.3 and 2.14.1</w:t>
            </w:r>
          </w:p>
        </w:tc>
      </w:tr>
      <w:tr>
        <w:tc>
          <w:tcPr>
            <w:tcW w:type="dxa" w:w="3024"/>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NumPy pandas scikit learn</w:t>
            </w:r>
          </w:p>
        </w:tc>
        <w:tc>
          <w:tcPr>
            <w:tcW w:type="dxa" w:w="6912"/>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2.1.3 / 2.2.3 / 1.6.1</w:t>
            </w:r>
          </w:p>
        </w:tc>
      </w:tr>
      <w:tr>
        <w:tc>
          <w:tcPr>
            <w:tcW w:type="dxa" w:w="3024"/>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Baseline decoding</w:t>
            </w:r>
          </w:p>
        </w:tc>
        <w:tc>
          <w:tcPr>
            <w:tcW w:type="dxa" w:w="69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Greedy with a 180-token maximum continuation</w:t>
            </w:r>
          </w:p>
        </w:tc>
      </w:tr>
      <w:tr>
        <w:tc>
          <w:tcPr>
            <w:tcW w:type="dxa" w:w="3024"/>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Seed</w:t>
            </w:r>
          </w:p>
        </w:tc>
        <w:tc>
          <w:tcPr>
            <w:tcW w:type="dxa" w:w="6912"/>
            <w:vAlign w:val="center"/>
            <w:shd w:fill="F5F7FA"/>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9"/>
              </w:rPr>
              <w:t>42</w:t>
            </w:r>
          </w:p>
        </w:tc>
      </w:tr>
    </w:tbl>
    <w:p/>
    <w:p>
      <w:r>
        <w:t>Dataset commit: 57ec275d8078af65b7731c2a98be812d844a6d6b</w:t>
      </w:r>
    </w:p>
    <w:p>
      <w:r>
        <w:t>Model commit: 989aa7980e4cf806f80c7fef2b1adb7bc71aa306</w:t>
      </w:r>
    </w:p>
    <w:p>
      <w:r>
        <w:t>Notebook default Python cells were executed in order in process. The verification environment could not start a Jupyter kernel; the Colab browser interface and optional team experiment branches were not exercised. The installation cell is supplied for fresh Colab sessions; actual local runtime versions are recorded in environment.json.</w:t>
      </w:r>
    </w:p>
    <w:p>
      <w:pPr>
        <w:pStyle w:val="Heading2"/>
      </w:pPr>
      <w:r>
        <w:t>Evidence files</w:t>
      </w:r>
    </w:p>
    <w:p>
      <w:r>
        <w:t>The handoff archive contains the executed notebook; data_audit.json; class_counts.csv; intent_names.json; the few-shot pool, four in-prompt examples and both evaluation subsets; three baseline inputs and raw generations; E1_summary.json; a qualitative review file; environment.json; source CSVs; and SHA-256 manifests. README.txt gives Colab run instructions and a contribution statement for member confirmation.</w:t>
      </w:r>
    </w:p>
    <w:p>
      <w:pPr>
        <w:pStyle w:val="Heading2"/>
      </w:pPr>
      <w:r>
        <w:t>References</w:t>
      </w:r>
    </w:p>
    <w:p>
      <w:r>
        <w:t>[1] PolyAI. BANKING77 dataset card and canonical label mapping. https://huggingface.co/datasets/PolyAI/banking77</w:t>
      </w:r>
    </w:p>
    <w:p>
      <w:r>
        <w:t>[2] Casanueva et al. Efficient Intent Detection with Dual Sentence Encoders, 2020. https://arxiv.org/abs/2003.04807</w:t>
      </w:r>
    </w:p>
    <w:p>
      <w:r>
        <w:t>[3] Qwen team. Qwen2.5-1.5B-Instruct model card. https://huggingface.co/Qwen/Qwen2.5-1.5B-Instruct</w:t>
      </w:r>
    </w:p>
    <w:p>
      <w:r>
        <w:t>[4] Hugging Face. Transformers 4.46.3 chat templates. https://huggingface.co/docs/transformers/v4.46.3/en/chat_templating</w:t>
      </w:r>
    </w:p>
    <w:p>
      <w:r>
        <w:t>[5] BITS Pilani WILP. PCAM ZG516 Group Major Project Assignment 1, CS1 to CS5. Supplied assignment document.</w:t>
      </w:r>
    </w:p>
    <w:p>
      <w:r>
        <w:t>Sources and software were accessed for this handoff on 15 October 2026. BANKING77 examples are attributed under CC BY 4.0. The notebook references the original model repository; model weights are not included in the handoff archive.</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6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BANKING77 Member 1 Report Sections</dc:title>
  <dc:subject>Problem statement dataset preparation and baseline implementation</dc:subject>
  <dc:creator>Anil Kumar Reddy K</dc:creator>
  <cp:keywords/>
  <dc:description>generated by python-docx</dc:description>
  <cp:lastModifiedBy/>
  <cp:revision>1</cp:revision>
  <dcterms:created xsi:type="dcterms:W3CDTF">2013-12-23T23:15:00Z</dcterms:created>
  <dcterms:modified xsi:type="dcterms:W3CDTF">2013-12-23T23:15:00Z</dcterms:modified>
  <cp:category/>
</cp:coreProperties>
</file>