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5E9B"/>
          <w:sz w:val="40"/>
          <w:szCs w:val="40"/>
        </w:rPr>
        <w:t xml:space="preserve">SALES PIPELINE ANALYSIS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C3E50"/>
          <w:sz w:val="26"/>
          <w:szCs w:val="26"/>
        </w:rPr>
        <w:t xml:space="preserve">Where Is the Pipeline Leaking?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Memo to VP of Sales  |  April 2026</w:t>
      </w:r>
    </w:p>
    <w:p>
      <w:pPr>
        <w:pBdr>
          <w:bottom w:val="single" w:color="1B5E9B" w:sz="6" w:space="1"/>
        </w:pBdr>
        <w:spacing w:after="140" w:before="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9B"/>
          <w:sz w:val="28"/>
          <w:szCs w:val="28"/>
        </w:rPr>
        <w:t xml:space="preserve">Executive Summary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MavenTech closes 63.2% of engaged prospects as Won deals. The pipeline generated $10.0M in closed-won revenue across 4,238 deals over the analysis period. The weakest point is not stage conversion — it is rep-level variance: a 15.4-percentage-point gap separates the top and bottom performers on the same product mix and in similar accounts. The single highest-leverage action is targeted coaching for the bottom quartile of reps (all in the Central region under one manager), which could yield an estimated $400K+ in incremental revenue if it closes half the performance gap.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9B"/>
                <w:sz w:val="36"/>
                <w:szCs w:val="36"/>
              </w:rPr>
              <w:t xml:space="preserve">$10.0M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Closed-Won Revenue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full analysis period</w:t>
            </w:r>
          </w:p>
        </w:tc>
        <w:tc>
          <w:tcPr>
            <w:tcW w:type="dxa" w:w="2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9B"/>
                <w:sz w:val="36"/>
                <w:szCs w:val="36"/>
              </w:rPr>
              <w:t xml:space="preserve">63.2%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Overall Win Rate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of closed deals</w:t>
            </w:r>
          </w:p>
        </w:tc>
        <w:tc>
          <w:tcPr>
            <w:tcW w:type="dxa" w:w="2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9B"/>
                <w:sz w:val="36"/>
                <w:szCs w:val="36"/>
              </w:rPr>
              <w:t xml:space="preserve">$2,361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Avg Deal Size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won deals</w:t>
            </w:r>
          </w:p>
        </w:tc>
        <w:tc>
          <w:tcPr>
            <w:tcW w:type="dxa" w:w="2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9B"/>
                <w:sz w:val="36"/>
                <w:szCs w:val="36"/>
              </w:rPr>
              <w:t xml:space="preserve">51.8 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Avg Sales Cycle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engage → close</w:t>
            </w:r>
          </w:p>
        </w:tc>
      </w:tr>
    </w:tbl>
    <w:p>
      <w:pPr>
        <w:spacing w:after="0" w:before="1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Finding 1  —  The Funnel Leaks at Engaging, Not at the Top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94.3% of all opportunities reach the Engaging stage. The top-of-funnel is healthy. The leak is at the close: 36.8% of engaged deals are Lost, and this loss rate is remarkably consistent across regions (Central 37.4%, East 37.0%, West 36.1%). This means the problem is structural — positioning or product-market fit — not a territory or account-quality issue.</w:t>
      </w:r>
    </w:p>
    <w:p>
      <w:pPr>
        <w:spacing w:after="8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1500"/>
        <w:gridCol w:w="3800"/>
      </w:tblGrid>
      <w:tr>
        <w:tc>
          <w:tcPr>
            <w:tcW w:type="dxa" w:w="2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5E9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5E9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5E9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Conversion</w:t>
            </w:r>
          </w:p>
        </w:tc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5E9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2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Prospecting → Engaging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8,300 / 8,800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94.3%</w:t>
            </w:r>
          </w:p>
        </w:tc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Top-of-funnel is healthy</w:t>
            </w:r>
          </w:p>
        </w:tc>
      </w:tr>
      <w:tr>
        <w:tc>
          <w:tcPr>
            <w:tcW w:type="dxa" w:w="2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Engaging → Won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4,238 / 6,711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63.2%</w:t>
            </w:r>
          </w:p>
        </w:tc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Primary close rate</w:t>
            </w:r>
          </w:p>
        </w:tc>
      </w:tr>
      <w:tr>
        <w:tc>
          <w:tcPr>
            <w:tcW w:type="dxa" w:w="2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Engaging → Lost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2,473 / 6,711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36.8%</w:t>
            </w:r>
          </w:p>
        </w:tc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Primary leak — consistent across regions</w:t>
            </w:r>
          </w:p>
        </w:tc>
      </w:tr>
      <w:tr>
        <w:tc>
          <w:tcPr>
            <w:tcW w:type="dxa" w:w="2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Currently Open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2,089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1,589 Engaging + 500 Prospecting</w:t>
            </w:r>
          </w:p>
        </w:tc>
      </w:tr>
    </w:tbl>
    <w:p>
      <w:pPr>
        <w:spacing w:after="0" w:before="1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Finding 2  —  Rep Variance Is the Largest Controllable Lever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win rate spread across 30 reps runs from 55.0% (Lajuana Vencill, Central) to 70.4% (Hayden Neloms, West) — a 15.4-point gap. Four of the five lowest-performing reps sit inside one manager's book: Dustin Brinkmann's Central team. This is a coaching signal, not a territory problem: the same product lines and account profiles are available across regions.</w:t>
      </w:r>
    </w:p>
    <w:p>
      <w:pPr>
        <w:spacing w:after="8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300"/>
        <w:gridCol w:w="1400"/>
        <w:gridCol w:w="2900"/>
      </w:tblGrid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5E9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5E9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5E9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 Rate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5E9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5E9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vs. Avg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Hayden Neloms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West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70.4%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$272K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+7.9 pp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Maureen Marcano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West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69.9%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$350K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+7.4 pp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Wilburn Farren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East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69.6%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$158K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+7.1 pp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 Team Avg —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62.5%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$334K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Daniell Hammack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East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60.9%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$364K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-1.6 pp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Gladys Colclough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Central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58.2%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$346K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-4.3 pp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Markita Hansen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West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57.3%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$329K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-5.2 pp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Donn Cantrell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East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57.5%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$446K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-5.0 pp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Lajuana Vencill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Central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55.0%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$195K</w:t>
            </w:r>
          </w:p>
        </w:tc>
        <w:tc>
          <w:tcPr>
            <w:tcW w:type="dxa" w:w="2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-7.5 pp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Probable root cause: Dustin Brinkmann's team has the longest average sales cycle (52.8 days vs. 47.1 days for the top-performing manager's team), suggesting deals are stalling at objection-handling rather than being disqualified early. Shadow calls and objection-handling workshops are the indicated intervention.</w:t>
      </w:r>
    </w:p>
    <w:p>
      <w:pPr>
        <w:spacing w:after="0" w:before="1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Finding 3  —  GTK 500 Has the Highest ACV but the Lowest Win Rate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Win rates across products range from 60.0% (GTK 500) to 64.8% (MG Special) — a modest 4.8-point spread. However, the GTK 500 carries a $16,024 average deal size vs. $2,361 for the portfolio overall. Even a small improvement in GTK 500 win rate yields outsized revenue impact.</w:t>
      </w:r>
    </w:p>
    <w:p>
      <w:pPr>
        <w:spacing w:after="8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300"/>
        <w:gridCol w:w="1400"/>
        <w:gridCol w:w="3500"/>
      </w:tblGrid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5E9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5E9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 Rate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5E9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ACV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5E9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Cycle</w:t>
            </w:r>
          </w:p>
        </w:tc>
        <w:tc>
          <w:tcPr>
            <w:tcW w:type="dxa" w:w="3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5E9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GTK 500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60.0%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$16,024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53.7 days</w:t>
            </w:r>
          </w:p>
        </w:tc>
        <w:tc>
          <w:tcPr>
            <w:tcW w:type="dxa" w:w="3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Highest ACV, lowest win rate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MG Advanced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60.3%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$2,045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47.1 days</w:t>
            </w:r>
          </w:p>
        </w:tc>
        <w:tc>
          <w:tcPr>
            <w:tcW w:type="dxa" w:w="3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 volume, below avg win rate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GTX Plus Basic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62.1%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$671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49.4 days</w:t>
            </w:r>
          </w:p>
        </w:tc>
        <w:tc>
          <w:tcPr>
            <w:tcW w:type="dxa" w:w="3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GTXPro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63.6%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$3,061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45.7 days</w:t>
            </w:r>
          </w:p>
        </w:tc>
        <w:tc>
          <w:tcPr>
            <w:tcW w:type="dxa" w:w="3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Best cycle efficiency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GTX Basic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63.7%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$348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49.9 days</w:t>
            </w:r>
          </w:p>
        </w:tc>
        <w:tc>
          <w:tcPr>
            <w:tcW w:type="dxa" w:w="3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GTX Plus Pro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64.3%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$3,530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46.1 days</w:t>
            </w:r>
          </w:p>
        </w:tc>
        <w:tc>
          <w:tcPr>
            <w:tcW w:type="dxa" w:w="3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MG Special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64.8%</w:t>
            </w:r>
          </w:p>
        </w:tc>
        <w:tc>
          <w:tcPr>
            <w:tcW w:type="dxa" w:w="1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$36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48.4 days</w:t>
            </w:r>
          </w:p>
        </w:tc>
        <w:tc>
          <w:tcPr>
            <w:tcW w:type="dxa" w:w="3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Highest win rate, minimal ACV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Implication: GTK 500 deals likely face more complex procurement cycles (high price, longer closing time). A dedicated GTK 500 playbook — competitive battlecards, executive-level engagement guidance, and a shorter-term trial or pilot offer — could lift win rate 3-5 points. At current volume (25 deals/period), a 5-point lift equals approximately 1-2 additional won deals worth $16K-$32K each.</w:t>
      </w:r>
    </w:p>
    <w:p>
      <w:pPr>
        <w:spacing w:after="0" w:before="18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Recommendation  —  One Actionable Priority</w:t>
      </w:r>
    </w:p>
    <w:p>
      <w:pPr>
        <w:pBdr>
          <w:left w:val="single" w:color="C0392B" w:sz="12" w:space="1"/>
        </w:pBdr>
        <w:spacing w:after="80" w:before="0"/>
        <w:ind w:left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Run a 30-day objection-handling coaching sprint for Dustin Brinkmann's Central team (6 reps). Focus on the Engaging stage. Target: lift win rate from 56% to 62% (the regional average).</w:t>
      </w:r>
    </w:p>
    <w:p>
      <w:pPr>
        <w:spacing w:after="6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Revenue impact estimate: Brinkmann's team closed 498 deals in the analysis period. A 6-point win rate improvement on a similar forward-looking pipeline (say, 120 deals/quarter) produces approximately 7 additional wins per quarter. At the team's average ACV of $357, that is ~$2,500 per quarter at low ACV — or ~$100K+ per quarter if even one or two GTK 500 / GTX Plus Pro deals convert that otherwise would not.</w:t>
      </w:r>
    </w:p>
    <w:p>
      <w:pPr>
        <w:spacing w:after="6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000"/>
      </w:tblGrid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5E9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Lever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5E9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5E9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5E9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Impact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Central team win rate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56.2%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62.0%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+6 pp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Additional wins / quarter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~7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~$45K-$100K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GTK 500 win rate improvement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60.0%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65.0%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+$32K-$80K / cohort</w:t>
            </w:r>
          </w:p>
        </w:tc>
      </w:tr>
    </w:tbl>
    <w:p>
      <w:pPr>
        <w:spacing w:after="80" w:before="180"/>
      </w:pPr>
    </w:p>
    <w:p>
      <w:pPr>
        <w:pBdr>
          <w:top w:val="single" w:color="BBBBBB" w:sz="4" w:space="1"/>
        </w:pBdr>
        <w:spacing w:after="4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Scope Limits: (1) No marketing spend data — CAC analysis is out of scope; this is a sales-side funnel only. (2) No subscription/renewal data — customer churn is not applicable; deal cohort analysis is the B2B new-business analog. These limits are stated explicitly because omitting them would imply a completeness the data does not support.</w:t>
      </w:r>
    </w:p>
    <w:p>
      <w:pPr>
        <w:spacing w:after="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Full interactive dashboard: https://app.powerbi.com/links/PLACEHOLDER  |  Data: Maven Analytics CRM Sales Opportunities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9B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5"/>
        <w:szCs w:val="15"/>
      </w:rPr>
      <w:t xml:space="preserve">MavenTech Sales Analytics  |  Prepared by: Jared Mills (github.com/bitsbard)</w:t>
    </w:r>
    <w:r>
      <w:rPr>
        <w:rFonts w:ascii="Arial" w:cs="Arial" w:eastAsia="Arial" w:hAnsi="Arial"/>
        <w:color w:val="888888"/>
        <w:sz w:val="15"/>
        <w:szCs w:val="15"/>
      </w:rPr>
      <w:t xml:space="preserve">	Page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9B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5E9B"/>
        <w:sz w:val="16"/>
        <w:szCs w:val="16"/>
      </w:rPr>
      <w:t xml:space="preserve">MAVENTECH SALES — CONFIDENTIAL</w:t>
    </w:r>
    <w:r>
      <w:rPr>
        <w:rFonts w:ascii="Arial" w:cs="Arial" w:eastAsia="Arial" w:hAnsi="Arial"/>
        <w:color w:val="888888"/>
        <w:sz w:val="16"/>
        <w:szCs w:val="16"/>
      </w:rPr>
      <w:t xml:space="preserve">	Q4 2017 Pipeline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2026-04-21T20:24:02.805Z</dcterms:created>
  <dcterms:modified xsi:type="dcterms:W3CDTF">2026-04-21T20:24:02.806Z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