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4198" w:rsidRDefault="00836147" w:rsidP="0069132B">
      <w:pPr>
        <w:pStyle w:val="Title"/>
        <w:ind w:left="0"/>
      </w:pPr>
      <w:r>
        <w:t>Asheville</w:t>
      </w:r>
      <w:r w:rsidR="00CE3968">
        <w:t xml:space="preserve"> Master Script Upgrade</w:t>
      </w:r>
    </w:p>
    <w:p w:rsidR="006C4515" w:rsidRDefault="00CE3968" w:rsidP="0069132B">
      <w:pPr>
        <w:pStyle w:val="Heading2"/>
      </w:pPr>
      <w:r>
        <w:t>Summary</w:t>
      </w:r>
    </w:p>
    <w:p w:rsidR="009016E3" w:rsidRDefault="009016E3" w:rsidP="009016E3">
      <w:r>
        <w:t xml:space="preserve">Accela has upgraded the agency scripts </w:t>
      </w:r>
      <w:r w:rsidR="000C59D8">
        <w:t xml:space="preserve">in the </w:t>
      </w:r>
      <w:r w:rsidR="00836147">
        <w:t>Asheville</w:t>
      </w:r>
      <w:r w:rsidR="000C59D8">
        <w:t xml:space="preserve"> agency </w:t>
      </w:r>
      <w:r>
        <w:t>from 1.x</w:t>
      </w:r>
      <w:r w:rsidR="000C59D8">
        <w:t xml:space="preserve"> and 2.x</w:t>
      </w:r>
      <w:r>
        <w:t xml:space="preserve"> formats to the newest scripting 3.0 format.   The </w:t>
      </w:r>
      <w:r w:rsidR="000C59D8">
        <w:t xml:space="preserve">original </w:t>
      </w:r>
      <w:r>
        <w:t>scripts</w:t>
      </w:r>
      <w:r w:rsidR="000C59D8">
        <w:t xml:space="preserve"> that were stored in</w:t>
      </w:r>
      <w:r>
        <w:t xml:space="preserve"> standard choices</w:t>
      </w:r>
      <w:r w:rsidR="000C59D8">
        <w:t xml:space="preserve"> have been migrated into </w:t>
      </w:r>
      <w:r>
        <w:t>JavaScript files, using the Accela best practice directory structure.</w:t>
      </w:r>
      <w:r w:rsidR="000C59D8">
        <w:t xml:space="preserve">   All custom functions that were embedded in master script code have been analyzed and migrated into the custom function library.  </w:t>
      </w:r>
      <w:r>
        <w:t>The standard choices have been converted to a structure that mirrors the record type structure for the agency.   This document describes the details of the conversion.</w:t>
      </w:r>
    </w:p>
    <w:p w:rsidR="00CE3968" w:rsidRPr="00CE3968" w:rsidRDefault="00CE3968" w:rsidP="00CE3968"/>
    <w:p w:rsidR="00CE3968" w:rsidRDefault="00CE3968" w:rsidP="00CE3968"/>
    <w:p w:rsidR="00CE3968" w:rsidRDefault="00CE3968" w:rsidP="00CE3968">
      <w:pPr>
        <w:pStyle w:val="Heading2"/>
      </w:pPr>
      <w:bookmarkStart w:id="0" w:name="_Toc121116541"/>
      <w:bookmarkStart w:id="1" w:name="_Toc342059396"/>
      <w:r>
        <w:t>Document Control</w:t>
      </w:r>
      <w:bookmarkEnd w:id="0"/>
      <w:bookmarkEnd w:id="1"/>
    </w:p>
    <w:p w:rsidR="00CE3968" w:rsidRDefault="00CE3968" w:rsidP="00CE3968"/>
    <w:tbl>
      <w:tblPr>
        <w:tblW w:w="9032" w:type="dxa"/>
        <w:tblInd w:w="6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1096"/>
        <w:gridCol w:w="1626"/>
        <w:gridCol w:w="1074"/>
        <w:gridCol w:w="5236"/>
      </w:tblGrid>
      <w:tr w:rsidR="00CE3968" w:rsidTr="004B39E5">
        <w:trPr>
          <w:cantSplit/>
          <w:tblHeader/>
        </w:trPr>
        <w:tc>
          <w:tcPr>
            <w:tcW w:w="1096" w:type="dxa"/>
            <w:tcBorders>
              <w:bottom w:val="nil"/>
              <w:right w:val="nil"/>
            </w:tcBorders>
            <w:shd w:val="pct10" w:color="auto" w:fill="auto"/>
          </w:tcPr>
          <w:p w:rsidR="00CE3968" w:rsidRDefault="00CE3968" w:rsidP="004B39E5">
            <w:pPr>
              <w:pStyle w:val="TableHeading"/>
              <w:rPr>
                <w:rFonts w:ascii="Arial Narrow" w:hAnsi="Arial Narrow"/>
              </w:rPr>
            </w:pPr>
            <w:r>
              <w:rPr>
                <w:rFonts w:ascii="Arial Narrow" w:hAnsi="Arial Narrow"/>
              </w:rPr>
              <w:t>Date</w:t>
            </w:r>
          </w:p>
        </w:tc>
        <w:tc>
          <w:tcPr>
            <w:tcW w:w="1626" w:type="dxa"/>
            <w:tcBorders>
              <w:left w:val="nil"/>
              <w:bottom w:val="nil"/>
              <w:right w:val="nil"/>
            </w:tcBorders>
            <w:shd w:val="pct10" w:color="auto" w:fill="auto"/>
          </w:tcPr>
          <w:p w:rsidR="00CE3968" w:rsidRDefault="00CE3968" w:rsidP="004B39E5">
            <w:pPr>
              <w:pStyle w:val="TableHeading"/>
              <w:rPr>
                <w:rFonts w:ascii="Arial Narrow" w:hAnsi="Arial Narrow"/>
              </w:rPr>
            </w:pPr>
            <w:r>
              <w:rPr>
                <w:rFonts w:ascii="Arial Narrow" w:hAnsi="Arial Narrow"/>
              </w:rPr>
              <w:t>Author</w:t>
            </w:r>
          </w:p>
        </w:tc>
        <w:tc>
          <w:tcPr>
            <w:tcW w:w="1074" w:type="dxa"/>
            <w:tcBorders>
              <w:left w:val="nil"/>
              <w:bottom w:val="nil"/>
              <w:right w:val="nil"/>
            </w:tcBorders>
            <w:shd w:val="pct10" w:color="auto" w:fill="auto"/>
          </w:tcPr>
          <w:p w:rsidR="00CE3968" w:rsidRDefault="00CE3968" w:rsidP="004B39E5">
            <w:pPr>
              <w:pStyle w:val="TableHeading"/>
              <w:rPr>
                <w:rFonts w:ascii="Arial Narrow" w:hAnsi="Arial Narrow"/>
              </w:rPr>
            </w:pPr>
            <w:r>
              <w:rPr>
                <w:rFonts w:ascii="Arial Narrow" w:hAnsi="Arial Narrow"/>
              </w:rPr>
              <w:t>Version</w:t>
            </w:r>
          </w:p>
        </w:tc>
        <w:tc>
          <w:tcPr>
            <w:tcW w:w="5236" w:type="dxa"/>
            <w:tcBorders>
              <w:left w:val="nil"/>
              <w:bottom w:val="nil"/>
            </w:tcBorders>
            <w:shd w:val="pct10" w:color="auto" w:fill="auto"/>
          </w:tcPr>
          <w:p w:rsidR="00CE3968" w:rsidRDefault="00CE3968" w:rsidP="004B39E5">
            <w:pPr>
              <w:pStyle w:val="TableHeading"/>
              <w:rPr>
                <w:rFonts w:ascii="Arial Narrow" w:hAnsi="Arial Narrow"/>
              </w:rPr>
            </w:pPr>
            <w:r>
              <w:rPr>
                <w:rFonts w:ascii="Arial Narrow" w:hAnsi="Arial Narrow"/>
              </w:rPr>
              <w:t>Change Reference</w:t>
            </w:r>
          </w:p>
        </w:tc>
      </w:tr>
      <w:tr w:rsidR="00CE3968" w:rsidTr="004B39E5">
        <w:trPr>
          <w:cantSplit/>
          <w:trHeight w:hRule="exact" w:val="60"/>
          <w:tblHeader/>
        </w:trPr>
        <w:tc>
          <w:tcPr>
            <w:tcW w:w="1096" w:type="dxa"/>
            <w:tcBorders>
              <w:left w:val="nil"/>
              <w:right w:val="nil"/>
            </w:tcBorders>
            <w:shd w:val="pct50" w:color="auto" w:fill="auto"/>
          </w:tcPr>
          <w:p w:rsidR="00CE3968" w:rsidRDefault="00CE3968" w:rsidP="004B39E5">
            <w:pPr>
              <w:pStyle w:val="TableText"/>
              <w:rPr>
                <w:sz w:val="8"/>
              </w:rPr>
            </w:pPr>
          </w:p>
        </w:tc>
        <w:tc>
          <w:tcPr>
            <w:tcW w:w="1626" w:type="dxa"/>
            <w:tcBorders>
              <w:left w:val="nil"/>
              <w:right w:val="nil"/>
            </w:tcBorders>
            <w:shd w:val="pct50" w:color="auto" w:fill="auto"/>
          </w:tcPr>
          <w:p w:rsidR="00CE3968" w:rsidRDefault="00CE3968" w:rsidP="004B39E5">
            <w:pPr>
              <w:pStyle w:val="TableText"/>
              <w:rPr>
                <w:sz w:val="8"/>
              </w:rPr>
            </w:pPr>
          </w:p>
        </w:tc>
        <w:tc>
          <w:tcPr>
            <w:tcW w:w="1074" w:type="dxa"/>
            <w:tcBorders>
              <w:left w:val="nil"/>
              <w:right w:val="nil"/>
            </w:tcBorders>
            <w:shd w:val="pct50" w:color="auto" w:fill="auto"/>
          </w:tcPr>
          <w:p w:rsidR="00CE3968" w:rsidRDefault="00CE3968" w:rsidP="004B39E5">
            <w:pPr>
              <w:pStyle w:val="TableText"/>
              <w:rPr>
                <w:sz w:val="8"/>
              </w:rPr>
            </w:pPr>
          </w:p>
        </w:tc>
        <w:tc>
          <w:tcPr>
            <w:tcW w:w="5236" w:type="dxa"/>
            <w:tcBorders>
              <w:left w:val="nil"/>
              <w:right w:val="nil"/>
            </w:tcBorders>
            <w:shd w:val="pct50" w:color="auto" w:fill="auto"/>
          </w:tcPr>
          <w:p w:rsidR="00CE3968" w:rsidRDefault="00CE3968" w:rsidP="004B39E5">
            <w:pPr>
              <w:pStyle w:val="TableText"/>
              <w:rPr>
                <w:sz w:val="8"/>
              </w:rPr>
            </w:pPr>
          </w:p>
        </w:tc>
      </w:tr>
      <w:tr w:rsidR="00CE3968" w:rsidTr="004B39E5">
        <w:trPr>
          <w:cantSplit/>
        </w:trPr>
        <w:tc>
          <w:tcPr>
            <w:tcW w:w="1096" w:type="dxa"/>
            <w:tcBorders>
              <w:top w:val="nil"/>
            </w:tcBorders>
          </w:tcPr>
          <w:p w:rsidR="0088170D" w:rsidRDefault="00836147" w:rsidP="004B39E5">
            <w:pPr>
              <w:pStyle w:val="TableText"/>
              <w:ind w:right="-22"/>
              <w:rPr>
                <w:rFonts w:ascii="Arial Narrow" w:hAnsi="Arial Narrow"/>
              </w:rPr>
            </w:pPr>
            <w:r>
              <w:rPr>
                <w:rFonts w:ascii="Arial Narrow" w:hAnsi="Arial Narrow"/>
              </w:rPr>
              <w:t>10/31/16</w:t>
            </w:r>
          </w:p>
        </w:tc>
        <w:tc>
          <w:tcPr>
            <w:tcW w:w="1626" w:type="dxa"/>
            <w:tcBorders>
              <w:top w:val="nil"/>
            </w:tcBorders>
          </w:tcPr>
          <w:p w:rsidR="00CE3968" w:rsidRDefault="00CE3968" w:rsidP="004B39E5">
            <w:pPr>
              <w:pStyle w:val="TableText"/>
              <w:rPr>
                <w:rFonts w:ascii="Arial Narrow" w:hAnsi="Arial Narrow"/>
              </w:rPr>
            </w:pPr>
            <w:r>
              <w:rPr>
                <w:rFonts w:ascii="Arial Narrow" w:hAnsi="Arial Narrow"/>
              </w:rPr>
              <w:t>John Schomp</w:t>
            </w:r>
          </w:p>
        </w:tc>
        <w:tc>
          <w:tcPr>
            <w:tcW w:w="1074" w:type="dxa"/>
            <w:tcBorders>
              <w:top w:val="nil"/>
            </w:tcBorders>
          </w:tcPr>
          <w:p w:rsidR="00CE3968" w:rsidRDefault="003B4366" w:rsidP="004B39E5">
            <w:pPr>
              <w:pStyle w:val="TableText"/>
              <w:rPr>
                <w:rFonts w:ascii="Arial Narrow" w:hAnsi="Arial Narrow"/>
                <w:lang w:val="es-ES"/>
              </w:rPr>
            </w:pPr>
            <w:r>
              <w:rPr>
                <w:rFonts w:ascii="Arial Narrow" w:hAnsi="Arial Narrow"/>
                <w:lang w:val="es-ES"/>
              </w:rPr>
              <w:t>0.1</w:t>
            </w:r>
          </w:p>
        </w:tc>
        <w:tc>
          <w:tcPr>
            <w:tcW w:w="5236" w:type="dxa"/>
            <w:tcBorders>
              <w:top w:val="nil"/>
            </w:tcBorders>
          </w:tcPr>
          <w:p w:rsidR="00CE3968" w:rsidRDefault="003B4366" w:rsidP="004B39E5">
            <w:pPr>
              <w:pStyle w:val="TableText"/>
              <w:rPr>
                <w:rFonts w:ascii="Arial Narrow" w:hAnsi="Arial Narrow"/>
                <w:lang w:val="es-ES"/>
              </w:rPr>
            </w:pPr>
            <w:proofErr w:type="spellStart"/>
            <w:r>
              <w:rPr>
                <w:rFonts w:ascii="Arial Narrow" w:hAnsi="Arial Narrow"/>
                <w:lang w:val="es-ES"/>
              </w:rPr>
              <w:t>Working</w:t>
            </w:r>
            <w:proofErr w:type="spellEnd"/>
            <w:r>
              <w:rPr>
                <w:rFonts w:ascii="Arial Narrow" w:hAnsi="Arial Narrow"/>
                <w:lang w:val="es-ES"/>
              </w:rPr>
              <w:t xml:space="preserve"> </w:t>
            </w:r>
            <w:proofErr w:type="spellStart"/>
            <w:r>
              <w:rPr>
                <w:rFonts w:ascii="Arial Narrow" w:hAnsi="Arial Narrow"/>
                <w:lang w:val="es-ES"/>
              </w:rPr>
              <w:t>Draft</w:t>
            </w:r>
            <w:proofErr w:type="spellEnd"/>
          </w:p>
        </w:tc>
      </w:tr>
      <w:tr w:rsidR="00CE3968" w:rsidTr="004B39E5">
        <w:trPr>
          <w:cantSplit/>
        </w:trPr>
        <w:tc>
          <w:tcPr>
            <w:tcW w:w="1096" w:type="dxa"/>
          </w:tcPr>
          <w:p w:rsidR="00CE3968" w:rsidRDefault="00CE3968" w:rsidP="004B39E5">
            <w:pPr>
              <w:pStyle w:val="TableText"/>
              <w:rPr>
                <w:rFonts w:ascii="Arial Narrow" w:hAnsi="Arial Narrow"/>
              </w:rPr>
            </w:pPr>
          </w:p>
        </w:tc>
        <w:tc>
          <w:tcPr>
            <w:tcW w:w="1626" w:type="dxa"/>
          </w:tcPr>
          <w:p w:rsidR="00CE3968" w:rsidRDefault="00CE3968" w:rsidP="004B39E5">
            <w:pPr>
              <w:pStyle w:val="TableText"/>
              <w:rPr>
                <w:rFonts w:ascii="Arial Narrow" w:hAnsi="Arial Narrow"/>
              </w:rPr>
            </w:pPr>
          </w:p>
        </w:tc>
        <w:tc>
          <w:tcPr>
            <w:tcW w:w="1074" w:type="dxa"/>
          </w:tcPr>
          <w:p w:rsidR="00CE3968" w:rsidRDefault="00CE3968" w:rsidP="004B39E5">
            <w:pPr>
              <w:pStyle w:val="TableText"/>
              <w:rPr>
                <w:rFonts w:ascii="Arial Narrow" w:hAnsi="Arial Narrow"/>
              </w:rPr>
            </w:pPr>
          </w:p>
        </w:tc>
        <w:tc>
          <w:tcPr>
            <w:tcW w:w="5236" w:type="dxa"/>
          </w:tcPr>
          <w:p w:rsidR="00CE3968" w:rsidRDefault="00CE3968" w:rsidP="004B39E5">
            <w:pPr>
              <w:pStyle w:val="TableText"/>
              <w:rPr>
                <w:rFonts w:ascii="Arial Narrow" w:hAnsi="Arial Narrow"/>
              </w:rPr>
            </w:pPr>
          </w:p>
        </w:tc>
      </w:tr>
      <w:tr w:rsidR="00CE3968" w:rsidTr="004B39E5">
        <w:trPr>
          <w:cantSplit/>
        </w:trPr>
        <w:tc>
          <w:tcPr>
            <w:tcW w:w="1096" w:type="dxa"/>
          </w:tcPr>
          <w:p w:rsidR="00CE3968" w:rsidRDefault="00CE3968" w:rsidP="004B39E5">
            <w:pPr>
              <w:pStyle w:val="TableText"/>
              <w:rPr>
                <w:rFonts w:ascii="Arial Narrow" w:hAnsi="Arial Narrow"/>
              </w:rPr>
            </w:pPr>
          </w:p>
        </w:tc>
        <w:tc>
          <w:tcPr>
            <w:tcW w:w="1626" w:type="dxa"/>
          </w:tcPr>
          <w:p w:rsidR="00CE3968" w:rsidRDefault="00CE3968" w:rsidP="004B39E5">
            <w:pPr>
              <w:pStyle w:val="TableText"/>
              <w:rPr>
                <w:rFonts w:ascii="Arial Narrow" w:hAnsi="Arial Narrow"/>
              </w:rPr>
            </w:pPr>
          </w:p>
        </w:tc>
        <w:tc>
          <w:tcPr>
            <w:tcW w:w="1074" w:type="dxa"/>
          </w:tcPr>
          <w:p w:rsidR="00CE3968" w:rsidRDefault="00CE3968" w:rsidP="004B39E5">
            <w:pPr>
              <w:pStyle w:val="TableText"/>
              <w:rPr>
                <w:rFonts w:ascii="Arial Narrow" w:hAnsi="Arial Narrow"/>
              </w:rPr>
            </w:pPr>
          </w:p>
        </w:tc>
        <w:tc>
          <w:tcPr>
            <w:tcW w:w="5236" w:type="dxa"/>
          </w:tcPr>
          <w:p w:rsidR="00CE3968" w:rsidRDefault="00CE3968" w:rsidP="004B39E5">
            <w:pPr>
              <w:pStyle w:val="TableText"/>
              <w:rPr>
                <w:rFonts w:ascii="Arial Narrow" w:hAnsi="Arial Narrow"/>
              </w:rPr>
            </w:pPr>
          </w:p>
        </w:tc>
      </w:tr>
      <w:tr w:rsidR="00CE3968" w:rsidTr="004B39E5">
        <w:trPr>
          <w:cantSplit/>
        </w:trPr>
        <w:tc>
          <w:tcPr>
            <w:tcW w:w="1096" w:type="dxa"/>
          </w:tcPr>
          <w:p w:rsidR="00CE3968" w:rsidRDefault="00CE3968" w:rsidP="004B39E5">
            <w:pPr>
              <w:pStyle w:val="TableText"/>
              <w:rPr>
                <w:rFonts w:ascii="Arial Narrow" w:hAnsi="Arial Narrow"/>
              </w:rPr>
            </w:pPr>
          </w:p>
        </w:tc>
        <w:tc>
          <w:tcPr>
            <w:tcW w:w="1626" w:type="dxa"/>
          </w:tcPr>
          <w:p w:rsidR="00CE3968" w:rsidRDefault="00CE3968" w:rsidP="004B39E5">
            <w:pPr>
              <w:pStyle w:val="TableText"/>
              <w:rPr>
                <w:rFonts w:ascii="Arial Narrow" w:hAnsi="Arial Narrow"/>
              </w:rPr>
            </w:pPr>
          </w:p>
        </w:tc>
        <w:tc>
          <w:tcPr>
            <w:tcW w:w="1074" w:type="dxa"/>
          </w:tcPr>
          <w:p w:rsidR="00CE3968" w:rsidRDefault="00CE3968" w:rsidP="004B39E5">
            <w:pPr>
              <w:pStyle w:val="TableText"/>
              <w:rPr>
                <w:rFonts w:ascii="Arial Narrow" w:hAnsi="Arial Narrow"/>
              </w:rPr>
            </w:pPr>
          </w:p>
        </w:tc>
        <w:tc>
          <w:tcPr>
            <w:tcW w:w="5236" w:type="dxa"/>
          </w:tcPr>
          <w:p w:rsidR="00CE3968" w:rsidRDefault="00CE3968" w:rsidP="004B39E5">
            <w:pPr>
              <w:pStyle w:val="TableText"/>
              <w:rPr>
                <w:rFonts w:ascii="Arial Narrow" w:hAnsi="Arial Narrow"/>
              </w:rPr>
            </w:pPr>
          </w:p>
        </w:tc>
      </w:tr>
    </w:tbl>
    <w:p w:rsidR="00CE3968" w:rsidRDefault="00CE3968" w:rsidP="00CE3968">
      <w:pPr>
        <w:pStyle w:val="Heading1"/>
      </w:pPr>
      <w:r>
        <w:br w:type="page"/>
      </w:r>
    </w:p>
    <w:p w:rsidR="00CE3968" w:rsidRDefault="00CE3968" w:rsidP="00CE3968"/>
    <w:p w:rsidR="00CE3968" w:rsidRDefault="00CE3968" w:rsidP="00CE3968"/>
    <w:p w:rsidR="00CE3968" w:rsidRDefault="00CE3968" w:rsidP="00CE3968">
      <w:pPr>
        <w:pStyle w:val="Heading2"/>
      </w:pPr>
      <w:bookmarkStart w:id="2" w:name="_Toc342059398"/>
      <w:r>
        <w:t>Analysis</w:t>
      </w:r>
      <w:bookmarkEnd w:id="2"/>
    </w:p>
    <w:p w:rsidR="000A1C8D" w:rsidRDefault="00CE3968" w:rsidP="00CE3968">
      <w:r>
        <w:t>A review of the scripting shows that customary standards</w:t>
      </w:r>
      <w:r w:rsidR="00A02807">
        <w:t xml:space="preserve"> for scripting based on version </w:t>
      </w:r>
      <w:r w:rsidR="009016E3">
        <w:t>1.X</w:t>
      </w:r>
      <w:r w:rsidR="00492A0F">
        <w:t xml:space="preserve"> have been used. </w:t>
      </w:r>
      <w:r>
        <w:t xml:space="preserve"> </w:t>
      </w:r>
      <w:r w:rsidR="00A02807">
        <w:t>“</w:t>
      </w:r>
      <w:r w:rsidR="004671FA">
        <w:t>V</w:t>
      </w:r>
      <w:r>
        <w:t>ariable branching”</w:t>
      </w:r>
      <w:r w:rsidR="009016E3">
        <w:t xml:space="preserve"> did not exist in these versions, so was not used.</w:t>
      </w:r>
    </w:p>
    <w:p w:rsidR="00CD63EF" w:rsidRDefault="00CD63EF" w:rsidP="00CE3968"/>
    <w:p w:rsidR="00CD63EF" w:rsidRDefault="009016E3" w:rsidP="00CE3968">
      <w:r>
        <w:t>Several opportunities for code review and/or refactoring were identified.   Please see the Recommendations section for details.</w:t>
      </w:r>
    </w:p>
    <w:p w:rsidR="00CD63EF" w:rsidRDefault="00CD63EF" w:rsidP="00CE3968"/>
    <w:p w:rsidR="000C59D8" w:rsidRDefault="000C59D8" w:rsidP="000C59D8">
      <w:pPr>
        <w:pStyle w:val="Heading2"/>
      </w:pPr>
      <w:r>
        <w:t>Master Script Usage</w:t>
      </w:r>
    </w:p>
    <w:p w:rsidR="000C59D8" w:rsidRDefault="000C59D8" w:rsidP="000C59D8">
      <w:r>
        <w:t xml:space="preserve">The following events are in use for the </w:t>
      </w:r>
      <w:r w:rsidR="002A14BA">
        <w:t>Ashville</w:t>
      </w:r>
      <w:r>
        <w:t xml:space="preserve"> agency, shown with associated master scripts. </w:t>
      </w:r>
    </w:p>
    <w:p w:rsidR="000C59D8" w:rsidRDefault="000C59D8" w:rsidP="000C59D8">
      <w:r>
        <w:t xml:space="preserve">  </w:t>
      </w:r>
    </w:p>
    <w:p w:rsidR="00836147" w:rsidRDefault="00836147" w:rsidP="000C59D8"/>
    <w:p w:rsidR="00836147" w:rsidRDefault="00836147" w:rsidP="000C59D8">
      <w:r>
        <w:rPr>
          <w:noProof/>
          <w:color w:val="1F497D"/>
        </w:rPr>
        <w:drawing>
          <wp:inline distT="0" distB="0" distL="0" distR="0">
            <wp:extent cx="4546600" cy="3155950"/>
            <wp:effectExtent l="0" t="0" r="6350" b="6350"/>
            <wp:docPr id="4" name="Picture 4" descr="cid:image002.png@01D23361.C849F4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png@01D23361.C849F4E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4546600" cy="3155950"/>
                    </a:xfrm>
                    <a:prstGeom prst="rect">
                      <a:avLst/>
                    </a:prstGeom>
                    <a:noFill/>
                    <a:ln>
                      <a:noFill/>
                    </a:ln>
                  </pic:spPr>
                </pic:pic>
              </a:graphicData>
            </a:graphic>
          </wp:inline>
        </w:drawing>
      </w:r>
    </w:p>
    <w:p w:rsidR="00836147" w:rsidRPr="000C59D8" w:rsidRDefault="00836147" w:rsidP="000C59D8">
      <w:r>
        <w:rPr>
          <w:noProof/>
          <w:color w:val="1F497D"/>
        </w:rPr>
        <w:lastRenderedPageBreak/>
        <w:drawing>
          <wp:inline distT="0" distB="0" distL="0" distR="0">
            <wp:extent cx="5289550" cy="2286000"/>
            <wp:effectExtent l="0" t="0" r="6350" b="0"/>
            <wp:docPr id="5" name="Picture 5" descr="cid:image005.png@01D23361.83AEA1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id:image005.png@01D23361.83AEA1F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5289550" cy="2286000"/>
                    </a:xfrm>
                    <a:prstGeom prst="rect">
                      <a:avLst/>
                    </a:prstGeom>
                    <a:noFill/>
                    <a:ln>
                      <a:noFill/>
                    </a:ln>
                  </pic:spPr>
                </pic:pic>
              </a:graphicData>
            </a:graphic>
          </wp:inline>
        </w:drawing>
      </w:r>
    </w:p>
    <w:p w:rsidR="000C59D8" w:rsidRDefault="000C59D8" w:rsidP="00A02807">
      <w:pPr>
        <w:pStyle w:val="Heading2"/>
      </w:pPr>
    </w:p>
    <w:p w:rsidR="00425022" w:rsidRDefault="00836147" w:rsidP="00425022">
      <w:pPr>
        <w:pStyle w:val="Heading2"/>
      </w:pPr>
      <w:r>
        <w:t>E</w:t>
      </w:r>
      <w:r w:rsidR="00425022">
        <w:t>dits to Standard Master Scripts</w:t>
      </w:r>
    </w:p>
    <w:p w:rsidR="00836147" w:rsidRDefault="00836147" w:rsidP="000C59D8">
      <w:r>
        <w:t xml:space="preserve">With minor exceptions, the master scripts in use are “Productized” which means that they </w:t>
      </w:r>
      <w:r w:rsidR="002A14BA">
        <w:t>are read-only and cannot</w:t>
      </w:r>
      <w:r>
        <w:t xml:space="preserve"> be edited.   Two master scripts (</w:t>
      </w:r>
      <w:proofErr w:type="spellStart"/>
      <w:r>
        <w:t>FeeAssessAfter</w:t>
      </w:r>
      <w:proofErr w:type="spellEnd"/>
      <w:r>
        <w:t xml:space="preserve">, </w:t>
      </w:r>
      <w:proofErr w:type="spellStart"/>
      <w:r>
        <w:t>LicProfLookupSubmitAfter</w:t>
      </w:r>
      <w:proofErr w:type="spellEnd"/>
      <w:r>
        <w:t>) are non-productized versions from the V1.6</w:t>
      </w:r>
      <w:r w:rsidR="002A14BA">
        <w:t xml:space="preserve"> master script</w:t>
      </w:r>
      <w:r>
        <w:t xml:space="preserve"> distribution.    These have not been edited.    The </w:t>
      </w:r>
      <w:proofErr w:type="spellStart"/>
      <w:r>
        <w:t>VoidFeeAfter</w:t>
      </w:r>
      <w:proofErr w:type="spellEnd"/>
      <w:r>
        <w:t xml:space="preserve"> script is not a master script – it performs har</w:t>
      </w:r>
      <w:r w:rsidR="002A14BA">
        <w:t>dcoded functions for this event and won’t be replaced.</w:t>
      </w:r>
    </w:p>
    <w:p w:rsidR="00836147" w:rsidRDefault="00836147" w:rsidP="000C59D8"/>
    <w:p w:rsidR="00732FE9" w:rsidRDefault="00732FE9" w:rsidP="00A02807">
      <w:pPr>
        <w:pStyle w:val="Heading2"/>
      </w:pPr>
      <w:r>
        <w:t>Custom functions that conflict with Maste</w:t>
      </w:r>
      <w:bookmarkStart w:id="3" w:name="_GoBack"/>
      <w:bookmarkEnd w:id="3"/>
      <w:r>
        <w:t>r Script distribution</w:t>
      </w:r>
    </w:p>
    <w:p w:rsidR="00B43123" w:rsidRPr="00B43123" w:rsidRDefault="00B43123" w:rsidP="00B43123">
      <w:r>
        <w:t>Custom functions were found that matched standard functions that are part of the Master Script 3.0 distribution.   The code was compared and the following recommendations were made.</w:t>
      </w:r>
    </w:p>
    <w:p w:rsidR="00B43123" w:rsidRPr="00B43123" w:rsidRDefault="00B43123" w:rsidP="00B43123"/>
    <w:tbl>
      <w:tblPr>
        <w:tblW w:w="9982" w:type="dxa"/>
        <w:tblCellMar>
          <w:left w:w="0" w:type="dxa"/>
          <w:right w:w="0" w:type="dxa"/>
        </w:tblCellMar>
        <w:tblLook w:val="04A0" w:firstRow="1" w:lastRow="0" w:firstColumn="1" w:lastColumn="0" w:noHBand="0" w:noVBand="1"/>
      </w:tblPr>
      <w:tblGrid>
        <w:gridCol w:w="3325"/>
        <w:gridCol w:w="3507"/>
        <w:gridCol w:w="3150"/>
      </w:tblGrid>
      <w:tr w:rsidR="00732FE9" w:rsidRPr="00732FE9" w:rsidTr="00836147">
        <w:trPr>
          <w:trHeight w:val="300"/>
        </w:trPr>
        <w:tc>
          <w:tcPr>
            <w:tcW w:w="3325" w:type="dxa"/>
            <w:tcBorders>
              <w:top w:val="single" w:sz="4" w:space="0" w:color="5B9BD5"/>
              <w:left w:val="single" w:sz="4" w:space="0" w:color="5B9BD5"/>
              <w:bottom w:val="nil"/>
              <w:right w:val="nil"/>
            </w:tcBorders>
            <w:shd w:val="clear" w:color="5B9BD5" w:fill="5B9BD5"/>
            <w:noWrap/>
            <w:tcMar>
              <w:top w:w="15" w:type="dxa"/>
              <w:left w:w="15" w:type="dxa"/>
              <w:bottom w:w="0" w:type="dxa"/>
              <w:right w:w="15" w:type="dxa"/>
            </w:tcMar>
            <w:vAlign w:val="bottom"/>
            <w:hideMark/>
          </w:tcPr>
          <w:p w:rsidR="00732FE9" w:rsidRPr="00732FE9" w:rsidRDefault="00732FE9">
            <w:pPr>
              <w:rPr>
                <w:rFonts w:ascii="Courier New" w:hAnsi="Courier New" w:cs="Courier New"/>
                <w:b/>
                <w:bCs/>
                <w:color w:val="FFFFFF"/>
                <w:sz w:val="16"/>
                <w:szCs w:val="22"/>
              </w:rPr>
            </w:pPr>
            <w:r w:rsidRPr="00732FE9">
              <w:rPr>
                <w:rFonts w:ascii="Courier New" w:hAnsi="Courier New" w:cs="Courier New"/>
                <w:b/>
                <w:bCs/>
                <w:color w:val="FFFFFF"/>
                <w:sz w:val="16"/>
                <w:szCs w:val="22"/>
              </w:rPr>
              <w:t>Function</w:t>
            </w:r>
          </w:p>
        </w:tc>
        <w:tc>
          <w:tcPr>
            <w:tcW w:w="3507" w:type="dxa"/>
            <w:tcBorders>
              <w:top w:val="single" w:sz="4" w:space="0" w:color="5B9BD5"/>
              <w:left w:val="nil"/>
              <w:bottom w:val="nil"/>
              <w:right w:val="nil"/>
            </w:tcBorders>
            <w:shd w:val="clear" w:color="5B9BD5" w:fill="5B9BD5"/>
            <w:noWrap/>
            <w:tcMar>
              <w:top w:w="15" w:type="dxa"/>
              <w:left w:w="15" w:type="dxa"/>
              <w:bottom w:w="0" w:type="dxa"/>
              <w:right w:w="15" w:type="dxa"/>
            </w:tcMar>
            <w:vAlign w:val="bottom"/>
            <w:hideMark/>
          </w:tcPr>
          <w:p w:rsidR="00732FE9" w:rsidRPr="00732FE9" w:rsidRDefault="00732FE9">
            <w:pPr>
              <w:rPr>
                <w:rFonts w:ascii="Courier New" w:hAnsi="Courier New" w:cs="Courier New"/>
                <w:b/>
                <w:bCs/>
                <w:color w:val="FFFFFF"/>
                <w:sz w:val="16"/>
                <w:szCs w:val="22"/>
              </w:rPr>
            </w:pPr>
            <w:r w:rsidRPr="00732FE9">
              <w:rPr>
                <w:rFonts w:ascii="Courier New" w:hAnsi="Courier New" w:cs="Courier New"/>
                <w:b/>
                <w:bCs/>
                <w:color w:val="FFFFFF"/>
                <w:sz w:val="16"/>
                <w:szCs w:val="22"/>
              </w:rPr>
              <w:t>Description</w:t>
            </w:r>
          </w:p>
        </w:tc>
        <w:tc>
          <w:tcPr>
            <w:tcW w:w="3150" w:type="dxa"/>
            <w:tcBorders>
              <w:top w:val="single" w:sz="4" w:space="0" w:color="5B9BD5"/>
              <w:left w:val="nil"/>
              <w:bottom w:val="nil"/>
              <w:right w:val="single" w:sz="4" w:space="0" w:color="5B9BD5"/>
            </w:tcBorders>
            <w:shd w:val="clear" w:color="5B9BD5" w:fill="5B9BD5"/>
            <w:noWrap/>
            <w:tcMar>
              <w:top w:w="15" w:type="dxa"/>
              <w:left w:w="15" w:type="dxa"/>
              <w:bottom w:w="0" w:type="dxa"/>
              <w:right w:w="15" w:type="dxa"/>
            </w:tcMar>
            <w:vAlign w:val="bottom"/>
            <w:hideMark/>
          </w:tcPr>
          <w:p w:rsidR="00732FE9" w:rsidRPr="00732FE9" w:rsidRDefault="00732FE9">
            <w:pPr>
              <w:rPr>
                <w:rFonts w:ascii="Courier New" w:hAnsi="Courier New" w:cs="Courier New"/>
                <w:b/>
                <w:bCs/>
                <w:color w:val="FFFFFF"/>
                <w:sz w:val="16"/>
                <w:szCs w:val="22"/>
              </w:rPr>
            </w:pPr>
            <w:r w:rsidRPr="00732FE9">
              <w:rPr>
                <w:rFonts w:ascii="Courier New" w:hAnsi="Courier New" w:cs="Courier New"/>
                <w:b/>
                <w:bCs/>
                <w:color w:val="FFFFFF"/>
                <w:sz w:val="16"/>
                <w:szCs w:val="22"/>
              </w:rPr>
              <w:t>Disposition of custom function</w:t>
            </w:r>
          </w:p>
        </w:tc>
      </w:tr>
      <w:tr w:rsidR="00836147" w:rsidRPr="00732FE9" w:rsidTr="00836147">
        <w:trPr>
          <w:trHeight w:val="300"/>
        </w:trPr>
        <w:tc>
          <w:tcPr>
            <w:tcW w:w="3325"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bottom"/>
          </w:tcPr>
          <w:p w:rsidR="00836147" w:rsidRDefault="00836147">
            <w:pPr>
              <w:rPr>
                <w:rFonts w:ascii="Courier New" w:hAnsi="Courier New" w:cs="Courier New"/>
                <w:color w:val="000000"/>
                <w:sz w:val="16"/>
                <w:szCs w:val="22"/>
              </w:rPr>
            </w:pPr>
            <w:proofErr w:type="spellStart"/>
            <w:r w:rsidRPr="00836147">
              <w:rPr>
                <w:rFonts w:ascii="Courier New" w:hAnsi="Courier New" w:cs="Courier New"/>
                <w:color w:val="000000"/>
                <w:sz w:val="16"/>
                <w:szCs w:val="22"/>
              </w:rPr>
              <w:t>addAdHocTask</w:t>
            </w:r>
            <w:proofErr w:type="spellEnd"/>
          </w:p>
        </w:tc>
        <w:tc>
          <w:tcPr>
            <w:tcW w:w="3507" w:type="dxa"/>
            <w:tcBorders>
              <w:top w:val="single" w:sz="4" w:space="0" w:color="5B9BD5"/>
              <w:left w:val="nil"/>
              <w:bottom w:val="nil"/>
              <w:right w:val="nil"/>
            </w:tcBorders>
            <w:shd w:val="clear" w:color="auto" w:fill="auto"/>
            <w:noWrap/>
            <w:tcMar>
              <w:top w:w="15" w:type="dxa"/>
              <w:left w:w="15" w:type="dxa"/>
              <w:bottom w:w="0" w:type="dxa"/>
              <w:right w:w="15" w:type="dxa"/>
            </w:tcMar>
            <w:vAlign w:val="bottom"/>
          </w:tcPr>
          <w:p w:rsidR="00836147" w:rsidRPr="00732FE9" w:rsidRDefault="00836147">
            <w:pPr>
              <w:rPr>
                <w:rFonts w:ascii="Courier New" w:hAnsi="Courier New" w:cs="Courier New"/>
                <w:color w:val="000000"/>
                <w:sz w:val="16"/>
                <w:szCs w:val="22"/>
              </w:rPr>
            </w:pPr>
            <w:r>
              <w:rPr>
                <w:rFonts w:ascii="Courier New" w:hAnsi="Courier New" w:cs="Courier New"/>
                <w:color w:val="000000"/>
                <w:sz w:val="16"/>
                <w:szCs w:val="22"/>
              </w:rPr>
              <w:t>Matches distribution</w:t>
            </w:r>
          </w:p>
        </w:tc>
        <w:tc>
          <w:tcPr>
            <w:tcW w:w="3150" w:type="dxa"/>
            <w:tcBorders>
              <w:top w:val="single" w:sz="4" w:space="0" w:color="5B9BD5"/>
              <w:left w:val="nil"/>
              <w:bottom w:val="nil"/>
              <w:right w:val="single" w:sz="4" w:space="0" w:color="5B9BD5"/>
            </w:tcBorders>
            <w:shd w:val="clear" w:color="auto" w:fill="auto"/>
            <w:noWrap/>
            <w:tcMar>
              <w:top w:w="15" w:type="dxa"/>
              <w:left w:w="15" w:type="dxa"/>
              <w:bottom w:w="0" w:type="dxa"/>
              <w:right w:w="15" w:type="dxa"/>
            </w:tcMar>
            <w:vAlign w:val="bottom"/>
          </w:tcPr>
          <w:p w:rsidR="00836147" w:rsidRPr="00732FE9" w:rsidRDefault="00836147">
            <w:pPr>
              <w:rPr>
                <w:rFonts w:ascii="Courier New" w:hAnsi="Courier New" w:cs="Courier New"/>
                <w:color w:val="000000"/>
                <w:sz w:val="16"/>
                <w:szCs w:val="22"/>
              </w:rPr>
            </w:pPr>
            <w:r>
              <w:rPr>
                <w:rFonts w:ascii="Courier New" w:hAnsi="Courier New" w:cs="Courier New"/>
                <w:color w:val="000000"/>
                <w:sz w:val="16"/>
                <w:szCs w:val="22"/>
              </w:rPr>
              <w:t>Removed</w:t>
            </w:r>
          </w:p>
        </w:tc>
      </w:tr>
      <w:tr w:rsidR="00732FE9" w:rsidRPr="00732FE9" w:rsidTr="00836147">
        <w:trPr>
          <w:trHeight w:val="300"/>
        </w:trPr>
        <w:tc>
          <w:tcPr>
            <w:tcW w:w="3325"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bottom"/>
            <w:hideMark/>
          </w:tcPr>
          <w:p w:rsidR="00732FE9" w:rsidRPr="00732FE9" w:rsidRDefault="00836147">
            <w:pPr>
              <w:rPr>
                <w:rFonts w:ascii="Courier New" w:hAnsi="Courier New" w:cs="Courier New"/>
                <w:color w:val="000000"/>
                <w:sz w:val="16"/>
                <w:szCs w:val="22"/>
              </w:rPr>
            </w:pPr>
            <w:proofErr w:type="spellStart"/>
            <w:r>
              <w:rPr>
                <w:rFonts w:ascii="Courier New" w:hAnsi="Courier New" w:cs="Courier New"/>
                <w:color w:val="000000"/>
                <w:sz w:val="16"/>
                <w:szCs w:val="22"/>
              </w:rPr>
              <w:t>updateFee</w:t>
            </w:r>
            <w:proofErr w:type="spellEnd"/>
          </w:p>
        </w:tc>
        <w:tc>
          <w:tcPr>
            <w:tcW w:w="3507" w:type="dxa"/>
            <w:tcBorders>
              <w:top w:val="single" w:sz="4" w:space="0" w:color="5B9BD5"/>
              <w:left w:val="nil"/>
              <w:bottom w:val="nil"/>
              <w:right w:val="nil"/>
            </w:tcBorders>
            <w:shd w:val="clear" w:color="auto" w:fill="auto"/>
            <w:noWrap/>
            <w:tcMar>
              <w:top w:w="15" w:type="dxa"/>
              <w:left w:w="15" w:type="dxa"/>
              <w:bottom w:w="0" w:type="dxa"/>
              <w:right w:w="15" w:type="dxa"/>
            </w:tcMar>
            <w:vAlign w:val="bottom"/>
            <w:hideMark/>
          </w:tcPr>
          <w:p w:rsidR="00732FE9" w:rsidRPr="00732FE9" w:rsidRDefault="00732FE9">
            <w:pPr>
              <w:rPr>
                <w:rFonts w:ascii="Courier New" w:hAnsi="Courier New" w:cs="Courier New"/>
                <w:color w:val="000000"/>
                <w:sz w:val="16"/>
                <w:szCs w:val="22"/>
              </w:rPr>
            </w:pPr>
            <w:r w:rsidRPr="00732FE9">
              <w:rPr>
                <w:rFonts w:ascii="Courier New" w:hAnsi="Courier New" w:cs="Courier New"/>
                <w:color w:val="000000"/>
                <w:sz w:val="16"/>
                <w:szCs w:val="22"/>
              </w:rPr>
              <w:t>Matches distribution</w:t>
            </w:r>
          </w:p>
        </w:tc>
        <w:tc>
          <w:tcPr>
            <w:tcW w:w="3150" w:type="dxa"/>
            <w:tcBorders>
              <w:top w:val="single" w:sz="4" w:space="0" w:color="5B9BD5"/>
              <w:left w:val="nil"/>
              <w:bottom w:val="nil"/>
              <w:right w:val="single" w:sz="4" w:space="0" w:color="5B9BD5"/>
            </w:tcBorders>
            <w:shd w:val="clear" w:color="auto" w:fill="auto"/>
            <w:noWrap/>
            <w:tcMar>
              <w:top w:w="15" w:type="dxa"/>
              <w:left w:w="15" w:type="dxa"/>
              <w:bottom w:w="0" w:type="dxa"/>
              <w:right w:w="15" w:type="dxa"/>
            </w:tcMar>
            <w:vAlign w:val="bottom"/>
            <w:hideMark/>
          </w:tcPr>
          <w:p w:rsidR="00732FE9" w:rsidRPr="00732FE9" w:rsidRDefault="00732FE9">
            <w:pPr>
              <w:rPr>
                <w:rFonts w:ascii="Courier New" w:hAnsi="Courier New" w:cs="Courier New"/>
                <w:color w:val="000000"/>
                <w:sz w:val="16"/>
                <w:szCs w:val="22"/>
              </w:rPr>
            </w:pPr>
            <w:r w:rsidRPr="00732FE9">
              <w:rPr>
                <w:rFonts w:ascii="Courier New" w:hAnsi="Courier New" w:cs="Courier New"/>
                <w:color w:val="000000"/>
                <w:sz w:val="16"/>
                <w:szCs w:val="22"/>
              </w:rPr>
              <w:t>Removed</w:t>
            </w:r>
          </w:p>
        </w:tc>
      </w:tr>
      <w:tr w:rsidR="00732FE9" w:rsidRPr="00732FE9" w:rsidTr="00836147">
        <w:trPr>
          <w:trHeight w:val="300"/>
        </w:trPr>
        <w:tc>
          <w:tcPr>
            <w:tcW w:w="3325"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bottom"/>
            <w:hideMark/>
          </w:tcPr>
          <w:p w:rsidR="00732FE9" w:rsidRPr="00732FE9" w:rsidRDefault="00836147" w:rsidP="00836147">
            <w:pPr>
              <w:rPr>
                <w:rFonts w:ascii="Courier New" w:hAnsi="Courier New" w:cs="Courier New"/>
                <w:color w:val="000000"/>
                <w:sz w:val="16"/>
                <w:szCs w:val="22"/>
              </w:rPr>
            </w:pPr>
            <w:proofErr w:type="spellStart"/>
            <w:r w:rsidRPr="00836147">
              <w:rPr>
                <w:rFonts w:ascii="Courier New" w:hAnsi="Courier New" w:cs="Courier New"/>
                <w:color w:val="000000"/>
                <w:sz w:val="16"/>
                <w:szCs w:val="22"/>
              </w:rPr>
              <w:t>updateFeeItemInvoiceFlag</w:t>
            </w:r>
            <w:proofErr w:type="spellEnd"/>
          </w:p>
        </w:tc>
        <w:tc>
          <w:tcPr>
            <w:tcW w:w="3507" w:type="dxa"/>
            <w:tcBorders>
              <w:top w:val="single" w:sz="4" w:space="0" w:color="5B9BD5"/>
              <w:left w:val="nil"/>
              <w:bottom w:val="nil"/>
              <w:right w:val="nil"/>
            </w:tcBorders>
            <w:shd w:val="clear" w:color="auto" w:fill="auto"/>
            <w:noWrap/>
            <w:tcMar>
              <w:top w:w="15" w:type="dxa"/>
              <w:left w:w="15" w:type="dxa"/>
              <w:bottom w:w="0" w:type="dxa"/>
              <w:right w:w="15" w:type="dxa"/>
            </w:tcMar>
            <w:vAlign w:val="bottom"/>
            <w:hideMark/>
          </w:tcPr>
          <w:p w:rsidR="00732FE9" w:rsidRPr="00732FE9" w:rsidRDefault="00732FE9">
            <w:pPr>
              <w:rPr>
                <w:rFonts w:ascii="Courier New" w:hAnsi="Courier New" w:cs="Courier New"/>
                <w:color w:val="000000"/>
                <w:sz w:val="16"/>
                <w:szCs w:val="22"/>
              </w:rPr>
            </w:pPr>
            <w:r w:rsidRPr="00732FE9">
              <w:rPr>
                <w:rFonts w:ascii="Courier New" w:hAnsi="Courier New" w:cs="Courier New"/>
                <w:color w:val="000000"/>
                <w:sz w:val="16"/>
                <w:szCs w:val="22"/>
              </w:rPr>
              <w:t>Matches distribution</w:t>
            </w:r>
          </w:p>
        </w:tc>
        <w:tc>
          <w:tcPr>
            <w:tcW w:w="3150" w:type="dxa"/>
            <w:tcBorders>
              <w:top w:val="single" w:sz="4" w:space="0" w:color="5B9BD5"/>
              <w:left w:val="nil"/>
              <w:bottom w:val="nil"/>
              <w:right w:val="single" w:sz="4" w:space="0" w:color="5B9BD5"/>
            </w:tcBorders>
            <w:shd w:val="clear" w:color="auto" w:fill="auto"/>
            <w:noWrap/>
            <w:tcMar>
              <w:top w:w="15" w:type="dxa"/>
              <w:left w:w="15" w:type="dxa"/>
              <w:bottom w:w="0" w:type="dxa"/>
              <w:right w:w="15" w:type="dxa"/>
            </w:tcMar>
            <w:vAlign w:val="bottom"/>
            <w:hideMark/>
          </w:tcPr>
          <w:p w:rsidR="00732FE9" w:rsidRPr="00732FE9" w:rsidRDefault="00732FE9">
            <w:pPr>
              <w:rPr>
                <w:rFonts w:ascii="Courier New" w:hAnsi="Courier New" w:cs="Courier New"/>
                <w:color w:val="000000"/>
                <w:sz w:val="16"/>
                <w:szCs w:val="22"/>
              </w:rPr>
            </w:pPr>
            <w:r w:rsidRPr="00732FE9">
              <w:rPr>
                <w:rFonts w:ascii="Courier New" w:hAnsi="Courier New" w:cs="Courier New"/>
                <w:color w:val="000000"/>
                <w:sz w:val="16"/>
                <w:szCs w:val="22"/>
              </w:rPr>
              <w:t>Removed</w:t>
            </w:r>
          </w:p>
        </w:tc>
      </w:tr>
    </w:tbl>
    <w:p w:rsidR="00732FE9" w:rsidRDefault="00732FE9" w:rsidP="00A02807">
      <w:pPr>
        <w:pStyle w:val="Heading2"/>
      </w:pPr>
      <w:r>
        <w:t xml:space="preserve"> </w:t>
      </w:r>
    </w:p>
    <w:p w:rsidR="00B43123" w:rsidRDefault="00B43123" w:rsidP="00A02807">
      <w:pPr>
        <w:pStyle w:val="Heading2"/>
      </w:pPr>
      <w:r>
        <w:t>Functions with multiple versions</w:t>
      </w:r>
    </w:p>
    <w:p w:rsidR="00855856" w:rsidRDefault="00855856" w:rsidP="00B43123">
      <w:r>
        <w:t>There were no functions found with multiple versions.</w:t>
      </w:r>
    </w:p>
    <w:p w:rsidR="00B43123" w:rsidRPr="00B43123" w:rsidRDefault="00855856" w:rsidP="00B43123">
      <w:r w:rsidRPr="00B43123">
        <w:t xml:space="preserve"> </w:t>
      </w:r>
    </w:p>
    <w:p w:rsidR="00CE3968" w:rsidRDefault="003B4366" w:rsidP="00A02807">
      <w:pPr>
        <w:pStyle w:val="Heading2"/>
      </w:pPr>
      <w:r>
        <w:t xml:space="preserve">Standard Choice </w:t>
      </w:r>
      <w:r w:rsidR="00A02807">
        <w:t>Conversion Details</w:t>
      </w:r>
    </w:p>
    <w:p w:rsidR="009A7E9D" w:rsidRDefault="009016E3" w:rsidP="00A02807">
      <w:pPr>
        <w:pStyle w:val="ListParagraph"/>
        <w:numPr>
          <w:ilvl w:val="0"/>
          <w:numId w:val="5"/>
        </w:numPr>
      </w:pPr>
      <w:r>
        <w:t xml:space="preserve">Approximately </w:t>
      </w:r>
      <w:r w:rsidR="00855856">
        <w:t>1,252</w:t>
      </w:r>
      <w:r>
        <w:t xml:space="preserve"> </w:t>
      </w:r>
      <w:r w:rsidR="009A7E9D">
        <w:t>Standard Choice</w:t>
      </w:r>
      <w:r>
        <w:t>s containing</w:t>
      </w:r>
      <w:r w:rsidR="009A7E9D">
        <w:t xml:space="preserve"> scripts have been converted to </w:t>
      </w:r>
      <w:r w:rsidR="00855856">
        <w:t>28</w:t>
      </w:r>
      <w:r w:rsidR="009A7E9D">
        <w:t xml:space="preserve"> script files.   </w:t>
      </w:r>
      <w:r w:rsidR="00855856">
        <w:t>7</w:t>
      </w:r>
      <w:r w:rsidR="009A7E9D">
        <w:t xml:space="preserve"> new functions were created.</w:t>
      </w:r>
    </w:p>
    <w:p w:rsidR="00425022" w:rsidRDefault="00425022" w:rsidP="00425022"/>
    <w:p w:rsidR="00425022" w:rsidRDefault="00425022" w:rsidP="00425022">
      <w:pPr>
        <w:pStyle w:val="ListParagraph"/>
        <w:numPr>
          <w:ilvl w:val="0"/>
          <w:numId w:val="5"/>
        </w:numPr>
      </w:pPr>
      <w:r>
        <w:t>In general, any standard choice code that was branched to more than once has been created as a separate custom function.   In most cases the function name is the same or similar to the name of the original standard choice.  For example:</w:t>
      </w:r>
    </w:p>
    <w:p w:rsidR="00425022" w:rsidRDefault="00425022" w:rsidP="00425022">
      <w:pPr>
        <w:pStyle w:val="ListParagraph"/>
      </w:pPr>
    </w:p>
    <w:p w:rsidR="009A7E9D" w:rsidRDefault="00855856" w:rsidP="009A7E9D">
      <w:pPr>
        <w:pStyle w:val="ListParagraph"/>
      </w:pPr>
      <w:r>
        <w:rPr>
          <w:noProof/>
        </w:rPr>
        <w:drawing>
          <wp:inline distT="0" distB="0" distL="0" distR="0" wp14:anchorId="2AF21E5F" wp14:editId="4FC8E4A8">
            <wp:extent cx="4705350"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05350" cy="2057400"/>
                    </a:xfrm>
                    <a:prstGeom prst="rect">
                      <a:avLst/>
                    </a:prstGeom>
                  </pic:spPr>
                </pic:pic>
              </a:graphicData>
            </a:graphic>
          </wp:inline>
        </w:drawing>
      </w:r>
    </w:p>
    <w:p w:rsidR="00855856" w:rsidRDefault="00855856" w:rsidP="009A7E9D">
      <w:pPr>
        <w:pStyle w:val="ListParagraph"/>
      </w:pPr>
    </w:p>
    <w:p w:rsidR="00007D09" w:rsidRDefault="00007D09" w:rsidP="00A02807">
      <w:pPr>
        <w:pStyle w:val="ListParagraph"/>
        <w:numPr>
          <w:ilvl w:val="0"/>
          <w:numId w:val="5"/>
        </w:numPr>
      </w:pPr>
      <w:r>
        <w:t xml:space="preserve">All converted scripts have been </w:t>
      </w:r>
      <w:r w:rsidR="00425022">
        <w:t>tested</w:t>
      </w:r>
      <w:r>
        <w:t xml:space="preserve"> f</w:t>
      </w:r>
      <w:r w:rsidR="00425022">
        <w:t>or proper JavaScript syntax.</w:t>
      </w:r>
    </w:p>
    <w:p w:rsidR="00007D09" w:rsidRDefault="00007D09" w:rsidP="00007D09">
      <w:pPr>
        <w:pStyle w:val="ListParagraph"/>
      </w:pPr>
    </w:p>
    <w:p w:rsidR="00E37FE5" w:rsidRDefault="00E37FE5" w:rsidP="00A02807">
      <w:pPr>
        <w:pStyle w:val="ListParagraph"/>
        <w:numPr>
          <w:ilvl w:val="0"/>
          <w:numId w:val="5"/>
        </w:numPr>
      </w:pPr>
      <w:r>
        <w:t>To assist with testing, the original “Branch” standard choice names have been added as comments to the converted scripts.</w:t>
      </w:r>
      <w:r w:rsidR="00CD63EF">
        <w:t xml:space="preserve">   </w:t>
      </w:r>
      <w:r>
        <w:t xml:space="preserve"> Once testing is complete these comments won’t be needed.</w:t>
      </w:r>
      <w:r w:rsidR="00F66215">
        <w:t xml:space="preserve">   For example:</w:t>
      </w:r>
    </w:p>
    <w:p w:rsidR="00F66215" w:rsidRDefault="00F66215" w:rsidP="00F66215">
      <w:pPr>
        <w:pStyle w:val="ListParagraph"/>
      </w:pPr>
    </w:p>
    <w:p w:rsidR="00F960B1" w:rsidRDefault="00855856" w:rsidP="00855856">
      <w:pPr>
        <w:ind w:left="720"/>
      </w:pPr>
      <w:r>
        <w:rPr>
          <w:noProof/>
        </w:rPr>
        <w:drawing>
          <wp:inline distT="0" distB="0" distL="0" distR="0" wp14:anchorId="6A6B35EB" wp14:editId="6598E122">
            <wp:extent cx="3686175" cy="1819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86175" cy="1819275"/>
                    </a:xfrm>
                    <a:prstGeom prst="rect">
                      <a:avLst/>
                    </a:prstGeom>
                  </pic:spPr>
                </pic:pic>
              </a:graphicData>
            </a:graphic>
          </wp:inline>
        </w:drawing>
      </w:r>
    </w:p>
    <w:p w:rsidR="00855856" w:rsidRDefault="00855856" w:rsidP="00855856">
      <w:pPr>
        <w:ind w:left="720"/>
      </w:pPr>
    </w:p>
    <w:p w:rsidR="00E37FE5" w:rsidRDefault="00E37FE5" w:rsidP="00E37FE5">
      <w:pPr>
        <w:pStyle w:val="ListParagraph"/>
        <w:numPr>
          <w:ilvl w:val="0"/>
          <w:numId w:val="5"/>
        </w:numPr>
      </w:pPr>
      <w:r>
        <w:t xml:space="preserve">The conversion algorithm </w:t>
      </w:r>
      <w:r w:rsidR="00CD63EF">
        <w:t>may have</w:t>
      </w:r>
      <w:r>
        <w:t xml:space="preserve"> created some instances where double sets of braces </w:t>
      </w:r>
      <w:proofErr w:type="gramStart"/>
      <w:r>
        <w:t>{{ …</w:t>
      </w:r>
      <w:proofErr w:type="gramEnd"/>
      <w:r>
        <w:t xml:space="preserve"> }} denote a code block.   These can be removed if</w:t>
      </w:r>
      <w:r w:rsidR="00492A0F">
        <w:t xml:space="preserve"> desired, but they have no impact on the script execution.</w:t>
      </w:r>
      <w:r>
        <w:t xml:space="preserve"> </w:t>
      </w:r>
    </w:p>
    <w:p w:rsidR="00E37FE5" w:rsidRDefault="00E37FE5" w:rsidP="00E37FE5">
      <w:pPr>
        <w:pStyle w:val="ListParagraph"/>
      </w:pPr>
    </w:p>
    <w:p w:rsidR="001D1FB9" w:rsidRPr="006C3100" w:rsidRDefault="006C3100" w:rsidP="006C3100">
      <w:pPr>
        <w:pStyle w:val="ListParagraph"/>
        <w:numPr>
          <w:ilvl w:val="0"/>
          <w:numId w:val="5"/>
        </w:numPr>
      </w:pPr>
      <w:r>
        <w:t xml:space="preserve">All references to </w:t>
      </w:r>
      <w:proofErr w:type="spellStart"/>
      <w:r>
        <w:t>showDebug</w:t>
      </w:r>
      <w:proofErr w:type="spellEnd"/>
      <w:r w:rsidR="00CD63EF">
        <w:t xml:space="preserve"> within business scripts</w:t>
      </w:r>
      <w:r w:rsidR="009016E3">
        <w:t xml:space="preserve"> have been removed</w:t>
      </w:r>
      <w:r w:rsidR="006C2C13">
        <w:t xml:space="preserve"> in order to simplify </w:t>
      </w:r>
      <w:r w:rsidR="009016E3">
        <w:t>script debugging</w:t>
      </w:r>
      <w:r w:rsidR="006C2C13">
        <w:t>.  Accela recommends setting this in one place, preferably using I</w:t>
      </w:r>
      <w:r w:rsidR="00337114">
        <w:t xml:space="preserve">NCLUDES_CUSTOM_GLOBALS </w:t>
      </w:r>
      <w:r w:rsidR="006C2C13">
        <w:t>for this purpose</w:t>
      </w:r>
      <w:r w:rsidR="00337114">
        <w:t xml:space="preserve">.     For example: </w:t>
      </w:r>
    </w:p>
    <w:p w:rsidR="00A15A18" w:rsidRPr="001D1FB9" w:rsidRDefault="00A15A18" w:rsidP="001D1FB9">
      <w:pPr>
        <w:rPr>
          <w:rFonts w:ascii="Courier New" w:hAnsi="Courier New" w:cs="Courier New"/>
        </w:rPr>
      </w:pPr>
    </w:p>
    <w:p w:rsidR="00425022" w:rsidRDefault="00425022" w:rsidP="00425022">
      <w:pPr>
        <w:ind w:firstLine="720"/>
        <w:rPr>
          <w:rFonts w:ascii="Courier New" w:hAnsi="Courier New" w:cs="Courier New"/>
          <w:color w:val="000000"/>
          <w:sz w:val="18"/>
          <w:szCs w:val="18"/>
        </w:rPr>
      </w:pPr>
      <w:r>
        <w:rPr>
          <w:rFonts w:ascii="Courier New" w:hAnsi="Courier New" w:cs="Courier New"/>
          <w:color w:val="000000"/>
          <w:sz w:val="18"/>
          <w:szCs w:val="18"/>
        </w:rPr>
        <w:t>if (</w:t>
      </w:r>
      <w:r w:rsidRPr="00425022">
        <w:rPr>
          <w:rFonts w:ascii="Courier New" w:hAnsi="Courier New" w:cs="Courier New"/>
          <w:color w:val="000000"/>
          <w:sz w:val="18"/>
          <w:szCs w:val="18"/>
        </w:rPr>
        <w:t>matches(</w:t>
      </w:r>
      <w:proofErr w:type="spellStart"/>
      <w:r w:rsidRPr="00425022">
        <w:rPr>
          <w:rFonts w:ascii="Courier New" w:hAnsi="Courier New" w:cs="Courier New"/>
          <w:color w:val="000000"/>
          <w:sz w:val="18"/>
          <w:szCs w:val="18"/>
        </w:rPr>
        <w:t>currentUserID</w:t>
      </w:r>
      <w:proofErr w:type="spellEnd"/>
      <w:r w:rsidRPr="00425022">
        <w:rPr>
          <w:rFonts w:ascii="Courier New" w:hAnsi="Courier New" w:cs="Courier New"/>
          <w:color w:val="000000"/>
          <w:sz w:val="18"/>
          <w:szCs w:val="18"/>
        </w:rPr>
        <w:t>,'</w:t>
      </w:r>
      <w:r w:rsidR="00855856">
        <w:rPr>
          <w:rFonts w:ascii="Courier New" w:hAnsi="Courier New" w:cs="Courier New"/>
          <w:color w:val="000000"/>
          <w:sz w:val="18"/>
          <w:szCs w:val="18"/>
        </w:rPr>
        <w:t>KHOBDAY</w:t>
      </w:r>
      <w:r w:rsidRPr="00425022">
        <w:rPr>
          <w:rFonts w:ascii="Courier New" w:hAnsi="Courier New" w:cs="Courier New"/>
          <w:color w:val="000000"/>
          <w:sz w:val="18"/>
          <w:szCs w:val="18"/>
        </w:rPr>
        <w:t>','</w:t>
      </w:r>
      <w:r w:rsidR="00855856">
        <w:rPr>
          <w:rFonts w:ascii="Courier New" w:hAnsi="Courier New" w:cs="Courier New"/>
          <w:color w:val="000000"/>
          <w:sz w:val="18"/>
          <w:szCs w:val="18"/>
        </w:rPr>
        <w:t>DMEEK</w:t>
      </w:r>
      <w:r w:rsidRPr="00425022">
        <w:rPr>
          <w:rFonts w:ascii="Courier New" w:hAnsi="Courier New" w:cs="Courier New"/>
          <w:color w:val="000000"/>
          <w:sz w:val="18"/>
          <w:szCs w:val="18"/>
        </w:rPr>
        <w:t>')</w:t>
      </w:r>
      <w:r>
        <w:rPr>
          <w:rFonts w:ascii="Courier New" w:hAnsi="Courier New" w:cs="Courier New"/>
          <w:color w:val="000000"/>
          <w:sz w:val="18"/>
          <w:szCs w:val="18"/>
        </w:rPr>
        <w:t>) {</w:t>
      </w:r>
    </w:p>
    <w:p w:rsidR="00425022" w:rsidRPr="00425022" w:rsidRDefault="00425022" w:rsidP="00425022">
      <w:pPr>
        <w:ind w:left="720" w:firstLine="720"/>
        <w:rPr>
          <w:rFonts w:ascii="Courier New" w:hAnsi="Courier New" w:cs="Courier New"/>
          <w:color w:val="000000"/>
          <w:sz w:val="18"/>
          <w:szCs w:val="18"/>
        </w:rPr>
      </w:pPr>
      <w:r w:rsidRPr="00425022">
        <w:rPr>
          <w:rFonts w:ascii="Courier New" w:hAnsi="Courier New" w:cs="Courier New"/>
          <w:color w:val="000000"/>
          <w:sz w:val="18"/>
          <w:szCs w:val="18"/>
        </w:rPr>
        <w:t xml:space="preserve"> </w:t>
      </w:r>
      <w:proofErr w:type="spellStart"/>
      <w:r w:rsidRPr="00425022">
        <w:rPr>
          <w:rFonts w:ascii="Courier New" w:hAnsi="Courier New" w:cs="Courier New"/>
          <w:color w:val="000000"/>
          <w:sz w:val="18"/>
          <w:szCs w:val="18"/>
        </w:rPr>
        <w:t>showDebug</w:t>
      </w:r>
      <w:proofErr w:type="spellEnd"/>
      <w:r w:rsidRPr="00425022">
        <w:rPr>
          <w:rFonts w:ascii="Courier New" w:hAnsi="Courier New" w:cs="Courier New"/>
          <w:color w:val="000000"/>
          <w:sz w:val="18"/>
          <w:szCs w:val="18"/>
        </w:rPr>
        <w:t xml:space="preserve"> = true;</w:t>
      </w:r>
    </w:p>
    <w:p w:rsidR="001D1FB9" w:rsidRPr="00CD63EF" w:rsidRDefault="00CD63EF" w:rsidP="00CD63EF">
      <w:pPr>
        <w:ind w:left="720" w:firstLine="360"/>
        <w:rPr>
          <w:sz w:val="20"/>
        </w:rPr>
      </w:pPr>
      <w:r w:rsidRPr="00CD63EF">
        <w:rPr>
          <w:rFonts w:ascii="Courier New" w:hAnsi="Courier New" w:cs="Courier New"/>
          <w:sz w:val="20"/>
        </w:rPr>
        <w:lastRenderedPageBreak/>
        <w:tab/>
        <w:t>}</w:t>
      </w:r>
    </w:p>
    <w:p w:rsidR="00F66215" w:rsidRDefault="00F66215" w:rsidP="00F66215">
      <w:pPr>
        <w:pStyle w:val="ListParagraph"/>
      </w:pPr>
    </w:p>
    <w:p w:rsidR="00F66215" w:rsidRDefault="00425022" w:rsidP="00337114">
      <w:pPr>
        <w:pStyle w:val="ListParagraph"/>
        <w:numPr>
          <w:ilvl w:val="0"/>
          <w:numId w:val="5"/>
        </w:numPr>
      </w:pPr>
      <w:r>
        <w:t>Individual s</w:t>
      </w:r>
      <w:r w:rsidR="00F66215">
        <w:t xml:space="preserve">tandard choices that were disabled are included but commented out inline. </w:t>
      </w:r>
      <w:r w:rsidR="00F960B1">
        <w:t xml:space="preserve"> Any branch calls in this disabled code were migrated as “</w:t>
      </w:r>
      <w:proofErr w:type="spellStart"/>
      <w:r w:rsidR="00F960B1">
        <w:t>br_nch</w:t>
      </w:r>
      <w:proofErr w:type="spellEnd"/>
      <w:r w:rsidR="00F960B1">
        <w:t xml:space="preserve">” as the branch function is no longer supported in 3.0.   If this code needs to be enabled, these branch calls </w:t>
      </w:r>
      <w:r>
        <w:t>would have to be</w:t>
      </w:r>
      <w:r w:rsidR="00F960B1">
        <w:t xml:space="preserve"> refactored.  </w:t>
      </w:r>
      <w:r w:rsidR="00F66215">
        <w:t xml:space="preserve"> For example:</w:t>
      </w:r>
    </w:p>
    <w:p w:rsidR="00F66215" w:rsidRDefault="00F66215" w:rsidP="00F66215">
      <w:pPr>
        <w:pStyle w:val="ListParagraph"/>
      </w:pPr>
    </w:p>
    <w:p w:rsidR="00F960B1" w:rsidRDefault="00855856" w:rsidP="00F960B1">
      <w:pPr>
        <w:pStyle w:val="ListParagraph"/>
        <w:ind w:left="1440"/>
        <w:rPr>
          <w:rFonts w:ascii="Courier New" w:hAnsi="Courier New" w:cs="Courier New"/>
          <w:sz w:val="18"/>
        </w:rPr>
      </w:pPr>
      <w:r>
        <w:rPr>
          <w:noProof/>
        </w:rPr>
        <w:drawing>
          <wp:inline distT="0" distB="0" distL="0" distR="0" wp14:anchorId="6C4075D7" wp14:editId="483D4090">
            <wp:extent cx="3305175" cy="1038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05175" cy="1038225"/>
                    </a:xfrm>
                    <a:prstGeom prst="rect">
                      <a:avLst/>
                    </a:prstGeom>
                  </pic:spPr>
                </pic:pic>
              </a:graphicData>
            </a:graphic>
          </wp:inline>
        </w:drawing>
      </w:r>
    </w:p>
    <w:p w:rsidR="00855856" w:rsidRDefault="00855856" w:rsidP="00F960B1">
      <w:pPr>
        <w:pStyle w:val="ListParagraph"/>
        <w:ind w:left="1440"/>
        <w:rPr>
          <w:rFonts w:ascii="Courier New" w:hAnsi="Courier New" w:cs="Courier New"/>
          <w:sz w:val="18"/>
        </w:rPr>
      </w:pPr>
    </w:p>
    <w:p w:rsidR="006D7ED4" w:rsidRDefault="005376F9" w:rsidP="00337114">
      <w:pPr>
        <w:pStyle w:val="ListParagraph"/>
        <w:numPr>
          <w:ilvl w:val="0"/>
          <w:numId w:val="5"/>
        </w:numPr>
      </w:pPr>
      <w:r>
        <w:t>S</w:t>
      </w:r>
      <w:r w:rsidR="00393DF4">
        <w:t>tandard choi</w:t>
      </w:r>
      <w:r w:rsidR="008E4CE3">
        <w:t xml:space="preserve">ce branches </w:t>
      </w:r>
      <w:r>
        <w:t xml:space="preserve">that </w:t>
      </w:r>
      <w:r w:rsidR="008E4CE3">
        <w:t>were not referenced</w:t>
      </w:r>
      <w:r w:rsidR="00007D09">
        <w:t xml:space="preserve"> by any script</w:t>
      </w:r>
      <w:r>
        <w:t xml:space="preserve"> were converted into the Scripts\Events\Unused Branches folder</w:t>
      </w:r>
      <w:r w:rsidR="008E4CE3">
        <w:t>.</w:t>
      </w:r>
      <w:r w:rsidR="00F960B1">
        <w:t xml:space="preserve">   This includes any code that was referenced by disabled standard choices.</w:t>
      </w:r>
      <w:r w:rsidR="00393DF4">
        <w:t xml:space="preserve">  These should be reviewed.</w:t>
      </w:r>
    </w:p>
    <w:p w:rsidR="00393DF4" w:rsidRDefault="00393DF4" w:rsidP="00393DF4">
      <w:pPr>
        <w:pStyle w:val="ListParagraph"/>
      </w:pPr>
    </w:p>
    <w:p w:rsidR="00A02807" w:rsidRDefault="00E37FE5" w:rsidP="00CE3968">
      <w:pPr>
        <w:pStyle w:val="ListParagraph"/>
        <w:numPr>
          <w:ilvl w:val="0"/>
          <w:numId w:val="5"/>
        </w:numPr>
      </w:pPr>
      <w:r>
        <w:t>All script files have been formatted to JavaScript standards for indentation.</w:t>
      </w:r>
    </w:p>
    <w:p w:rsidR="002D0200" w:rsidRDefault="002D0200" w:rsidP="002D0200">
      <w:pPr>
        <w:pStyle w:val="ListParagraph"/>
      </w:pPr>
    </w:p>
    <w:p w:rsidR="0010776F" w:rsidRPr="0010776F" w:rsidRDefault="0010776F" w:rsidP="0010776F">
      <w:pPr>
        <w:pStyle w:val="ListParagraph"/>
        <w:numPr>
          <w:ilvl w:val="0"/>
          <w:numId w:val="7"/>
        </w:numPr>
      </w:pPr>
      <w:r w:rsidRPr="0010776F">
        <w:t xml:space="preserve">All references to </w:t>
      </w:r>
      <w:proofErr w:type="spellStart"/>
      <w:r w:rsidRPr="0010776F">
        <w:t>disableTokens</w:t>
      </w:r>
      <w:proofErr w:type="spellEnd"/>
      <w:r w:rsidRPr="0010776F">
        <w:t xml:space="preserve"> global variable have been removed.   This flag is deprecated in scripting 3.0.   Curly braces ({}) can (and should) be used to designate bode blocks in 3.0 scripts.</w:t>
      </w:r>
    </w:p>
    <w:p w:rsidR="0010776F" w:rsidRPr="0010776F" w:rsidRDefault="0010776F" w:rsidP="0010776F">
      <w:pPr>
        <w:pStyle w:val="ListParagraph"/>
      </w:pPr>
    </w:p>
    <w:p w:rsidR="0010776F" w:rsidRPr="0010776F" w:rsidRDefault="0010776F" w:rsidP="0010776F">
      <w:pPr>
        <w:pStyle w:val="ListParagraph"/>
        <w:numPr>
          <w:ilvl w:val="0"/>
          <w:numId w:val="7"/>
        </w:numPr>
      </w:pPr>
      <w:r w:rsidRPr="0010776F">
        <w:t>The caret (^) is no longer valid for creating conditional logic.  Standard JavaScript should be used instead (i.e., if, else, else if, switch)</w:t>
      </w:r>
    </w:p>
    <w:p w:rsidR="0010776F" w:rsidRPr="0010776F" w:rsidRDefault="0010776F" w:rsidP="0010776F">
      <w:pPr>
        <w:pStyle w:val="ListParagraph"/>
      </w:pPr>
    </w:p>
    <w:p w:rsidR="0010776F" w:rsidRPr="0010776F" w:rsidRDefault="0010776F" w:rsidP="0010776F">
      <w:pPr>
        <w:pStyle w:val="ListParagraph"/>
        <w:numPr>
          <w:ilvl w:val="0"/>
          <w:numId w:val="7"/>
        </w:numPr>
      </w:pPr>
      <w:r w:rsidRPr="0010776F">
        <w:t xml:space="preserve">All references to ASI/TSI/Parcel Attributes using curly braces (e.g., {ASI Field}) have been changed to use the </w:t>
      </w:r>
      <w:proofErr w:type="spellStart"/>
      <w:r w:rsidRPr="0010776F">
        <w:t>AInfo</w:t>
      </w:r>
      <w:proofErr w:type="spellEnd"/>
      <w:r w:rsidRPr="0010776F">
        <w:t xml:space="preserve"> global Array (e.g., </w:t>
      </w:r>
      <w:proofErr w:type="spellStart"/>
      <w:proofErr w:type="gramStart"/>
      <w:r w:rsidRPr="0010776F">
        <w:t>AInfo</w:t>
      </w:r>
      <w:proofErr w:type="spellEnd"/>
      <w:r w:rsidRPr="0010776F">
        <w:t>[</w:t>
      </w:r>
      <w:proofErr w:type="gramEnd"/>
      <w:r w:rsidRPr="0010776F">
        <w:t>‘ASI Field’]).    Curly braces are now exclusively used to designate blocks of code.</w:t>
      </w:r>
    </w:p>
    <w:p w:rsidR="0010776F" w:rsidRPr="0010776F" w:rsidRDefault="0010776F" w:rsidP="0010776F">
      <w:pPr>
        <w:pStyle w:val="ListParagraph"/>
      </w:pPr>
    </w:p>
    <w:p w:rsidR="00E37FE5" w:rsidRDefault="0010776F" w:rsidP="0010776F">
      <w:pPr>
        <w:pStyle w:val="ListParagraph"/>
        <w:numPr>
          <w:ilvl w:val="0"/>
          <w:numId w:val="7"/>
        </w:numPr>
      </w:pPr>
      <w:r w:rsidRPr="0010776F">
        <w:t>All references to the “branch” and “</w:t>
      </w:r>
      <w:proofErr w:type="spellStart"/>
      <w:r w:rsidRPr="0010776F">
        <w:t>endbranch</w:t>
      </w:r>
      <w:proofErr w:type="spellEnd"/>
      <w:r w:rsidRPr="0010776F">
        <w:t>” functions have been removed.  These are deprecated in Master Scripts 3.0.</w:t>
      </w:r>
    </w:p>
    <w:p w:rsidR="00897114" w:rsidRDefault="00897114" w:rsidP="00897114">
      <w:pPr>
        <w:pStyle w:val="ListParagraph"/>
      </w:pPr>
    </w:p>
    <w:p w:rsidR="00CE3968" w:rsidRDefault="00F960B1" w:rsidP="00CE3968">
      <w:pPr>
        <w:pStyle w:val="Heading2"/>
      </w:pPr>
      <w:bookmarkStart w:id="4" w:name="_Toc342059399"/>
      <w:r>
        <w:t xml:space="preserve">Code Analysis and </w:t>
      </w:r>
      <w:r w:rsidR="00CE3968">
        <w:t>Recommendations</w:t>
      </w:r>
      <w:bookmarkEnd w:id="4"/>
    </w:p>
    <w:p w:rsidR="00CE3968" w:rsidRDefault="00CE3968" w:rsidP="00CE3968">
      <w:r>
        <w:t>Some recommendations on the existing code are as follows:</w:t>
      </w:r>
    </w:p>
    <w:p w:rsidR="00CE3968" w:rsidRDefault="00CE3968" w:rsidP="00CE3968"/>
    <w:p w:rsidR="00CE3968" w:rsidRDefault="00CE3968" w:rsidP="00CE3968">
      <w:pPr>
        <w:pStyle w:val="ListParagraph"/>
        <w:numPr>
          <w:ilvl w:val="0"/>
          <w:numId w:val="1"/>
        </w:numPr>
      </w:pPr>
      <w:r>
        <w:t xml:space="preserve">There are </w:t>
      </w:r>
      <w:r w:rsidR="008D09F0">
        <w:t xml:space="preserve">some </w:t>
      </w:r>
      <w:r>
        <w:t>script lines used to create outgoing emails.   There is new email template functionality that can be used which would make management of these emails much easier.   See the V360 Admin -&gt; Notification Template feature for more information.    The number of scripts used to send these emails could be dramatically reduced.</w:t>
      </w:r>
    </w:p>
    <w:p w:rsidR="00E37FE5" w:rsidRDefault="00E37FE5" w:rsidP="00E37FE5">
      <w:pPr>
        <w:pStyle w:val="ListParagraph"/>
      </w:pPr>
    </w:p>
    <w:p w:rsidR="00DA0438" w:rsidRDefault="00DA0438" w:rsidP="00DA0438">
      <w:pPr>
        <w:pStyle w:val="ListParagraph"/>
        <w:numPr>
          <w:ilvl w:val="0"/>
          <w:numId w:val="1"/>
        </w:numPr>
      </w:pPr>
      <w:r>
        <w:lastRenderedPageBreak/>
        <w:t xml:space="preserve">Review environment specific code and add references to global variables in INCLUDES_CUSTOM_GLOBALS that represent the environment (DEV, STAGE, PROD, etc.) so that code can remain consistent from </w:t>
      </w:r>
      <w:proofErr w:type="spellStart"/>
      <w:r>
        <w:t>env</w:t>
      </w:r>
      <w:proofErr w:type="spellEnd"/>
      <w:r>
        <w:t xml:space="preserve"> to </w:t>
      </w:r>
      <w:proofErr w:type="spellStart"/>
      <w:r>
        <w:t>env</w:t>
      </w:r>
      <w:proofErr w:type="spellEnd"/>
      <w:r>
        <w:t>.</w:t>
      </w:r>
    </w:p>
    <w:p w:rsidR="00DA0438" w:rsidRDefault="00DA0438" w:rsidP="00DA0438">
      <w:pPr>
        <w:pStyle w:val="ListParagraph"/>
      </w:pPr>
    </w:p>
    <w:p w:rsidR="0031162E" w:rsidRDefault="006C2C13" w:rsidP="0031162E">
      <w:pPr>
        <w:pStyle w:val="ListParagraph"/>
        <w:numPr>
          <w:ilvl w:val="0"/>
          <w:numId w:val="1"/>
        </w:numPr>
      </w:pPr>
      <w:r>
        <w:t>Review/Edit all TODO sections as shown below:</w:t>
      </w:r>
    </w:p>
    <w:p w:rsidR="00037126" w:rsidRDefault="00037126" w:rsidP="00037126">
      <w:pPr>
        <w:pStyle w:val="ListParagraph"/>
      </w:pPr>
    </w:p>
    <w:p w:rsidR="002A14BA" w:rsidRPr="002A14BA" w:rsidRDefault="002A14BA" w:rsidP="002A14BA">
      <w:pPr>
        <w:pStyle w:val="ListParagraph"/>
        <w:rPr>
          <w:rFonts w:ascii="Courier New" w:hAnsi="Courier New" w:cs="Courier New"/>
          <w:sz w:val="16"/>
        </w:rPr>
      </w:pPr>
      <w:r>
        <w:t xml:space="preserve">  </w:t>
      </w:r>
      <w:r w:rsidRPr="002A14BA">
        <w:rPr>
          <w:rFonts w:ascii="Courier New" w:hAnsi="Courier New" w:cs="Courier New"/>
          <w:sz w:val="16"/>
        </w:rPr>
        <w:t>Asheville</w:t>
      </w:r>
      <w:proofErr w:type="gramStart"/>
      <w:r w:rsidRPr="002A14BA">
        <w:rPr>
          <w:rFonts w:ascii="Courier New" w:hAnsi="Courier New" w:cs="Courier New"/>
          <w:sz w:val="16"/>
        </w:rPr>
        <w:t>\Scripts\Event\WTUA;Planning</w:t>
      </w:r>
      <w:proofErr w:type="gramEnd"/>
      <w:r w:rsidRPr="002A14BA">
        <w:rPr>
          <w:rFonts w:ascii="Courier New" w:hAnsi="Courier New" w:cs="Courier New"/>
          <w:sz w:val="16"/>
        </w:rPr>
        <w:t>!~!~!~.js</w:t>
      </w:r>
      <w:r>
        <w:rPr>
          <w:rFonts w:ascii="Courier New" w:hAnsi="Courier New" w:cs="Courier New"/>
          <w:sz w:val="16"/>
        </w:rPr>
        <w:t xml:space="preserve"> </w:t>
      </w:r>
    </w:p>
    <w:p w:rsidR="002A14BA" w:rsidRPr="002A14BA" w:rsidRDefault="002A14BA" w:rsidP="002A14BA">
      <w:pPr>
        <w:pStyle w:val="ListParagraph"/>
        <w:rPr>
          <w:rFonts w:ascii="Courier New" w:hAnsi="Courier New" w:cs="Courier New"/>
          <w:sz w:val="16"/>
        </w:rPr>
      </w:pPr>
      <w:r w:rsidRPr="002A14BA">
        <w:rPr>
          <w:rFonts w:ascii="Courier New" w:hAnsi="Courier New" w:cs="Courier New"/>
          <w:sz w:val="16"/>
        </w:rPr>
        <w:tab/>
      </w:r>
      <w:r>
        <w:rPr>
          <w:rFonts w:ascii="Courier New" w:hAnsi="Courier New" w:cs="Courier New"/>
          <w:sz w:val="16"/>
        </w:rPr>
        <w:t xml:space="preserve">Line 168: // TODO: review with </w:t>
      </w:r>
      <w:r w:rsidRPr="002A14BA">
        <w:rPr>
          <w:rFonts w:ascii="Courier New" w:hAnsi="Courier New" w:cs="Courier New"/>
          <w:sz w:val="16"/>
        </w:rPr>
        <w:t>Diane per email 10/26</w:t>
      </w:r>
    </w:p>
    <w:p w:rsidR="002A14BA" w:rsidRPr="002A14BA" w:rsidRDefault="002A14BA" w:rsidP="002A14BA">
      <w:pPr>
        <w:pStyle w:val="ListParagraph"/>
        <w:rPr>
          <w:rFonts w:ascii="Courier New" w:hAnsi="Courier New" w:cs="Courier New"/>
          <w:sz w:val="16"/>
        </w:rPr>
      </w:pPr>
      <w:r>
        <w:rPr>
          <w:rFonts w:ascii="Courier New" w:hAnsi="Courier New" w:cs="Courier New"/>
          <w:sz w:val="16"/>
        </w:rPr>
        <w:tab/>
        <w:t>Line 200: // TODO: review with</w:t>
      </w:r>
      <w:r w:rsidRPr="002A14BA">
        <w:rPr>
          <w:rFonts w:ascii="Courier New" w:hAnsi="Courier New" w:cs="Courier New"/>
          <w:sz w:val="16"/>
        </w:rPr>
        <w:t xml:space="preserve"> Diane per email 10/26</w:t>
      </w:r>
    </w:p>
    <w:p w:rsidR="002A14BA" w:rsidRPr="002A14BA" w:rsidRDefault="002A14BA" w:rsidP="002A14BA">
      <w:pPr>
        <w:pStyle w:val="ListParagraph"/>
        <w:rPr>
          <w:rFonts w:ascii="Courier New" w:hAnsi="Courier New" w:cs="Courier New"/>
          <w:sz w:val="16"/>
        </w:rPr>
      </w:pPr>
      <w:r w:rsidRPr="002A14BA">
        <w:rPr>
          <w:rFonts w:ascii="Courier New" w:hAnsi="Courier New" w:cs="Courier New"/>
          <w:sz w:val="16"/>
        </w:rPr>
        <w:t xml:space="preserve">  Asheville</w:t>
      </w:r>
      <w:proofErr w:type="gramStart"/>
      <w:r w:rsidRPr="002A14BA">
        <w:rPr>
          <w:rFonts w:ascii="Courier New" w:hAnsi="Courier New" w:cs="Courier New"/>
          <w:sz w:val="16"/>
        </w:rPr>
        <w:t>\Script</w:t>
      </w:r>
      <w:r>
        <w:rPr>
          <w:rFonts w:ascii="Courier New" w:hAnsi="Courier New" w:cs="Courier New"/>
          <w:sz w:val="16"/>
        </w:rPr>
        <w:t>s\Event\IRSA;~</w:t>
      </w:r>
      <w:proofErr w:type="gramEnd"/>
      <w:r>
        <w:rPr>
          <w:rFonts w:ascii="Courier New" w:hAnsi="Courier New" w:cs="Courier New"/>
          <w:sz w:val="16"/>
        </w:rPr>
        <w:t>!~!~!~.js</w:t>
      </w:r>
    </w:p>
    <w:p w:rsidR="002A14BA" w:rsidRPr="002A14BA" w:rsidRDefault="002A14BA" w:rsidP="002A14BA">
      <w:pPr>
        <w:pStyle w:val="ListParagraph"/>
        <w:rPr>
          <w:rFonts w:ascii="Courier New" w:hAnsi="Courier New" w:cs="Courier New"/>
          <w:sz w:val="16"/>
        </w:rPr>
      </w:pPr>
      <w:r w:rsidRPr="002A14BA">
        <w:rPr>
          <w:rFonts w:ascii="Courier New" w:hAnsi="Courier New" w:cs="Courier New"/>
          <w:sz w:val="16"/>
        </w:rPr>
        <w:tab/>
        <w:t>Line 1: // TODO:  repeated conditionals, consider refactoring</w:t>
      </w:r>
    </w:p>
    <w:p w:rsidR="002A14BA" w:rsidRPr="002A14BA" w:rsidRDefault="002A14BA" w:rsidP="002A14BA">
      <w:pPr>
        <w:pStyle w:val="ListParagraph"/>
        <w:rPr>
          <w:rFonts w:ascii="Courier New" w:hAnsi="Courier New" w:cs="Courier New"/>
          <w:sz w:val="16"/>
        </w:rPr>
      </w:pPr>
      <w:r w:rsidRPr="002A14BA">
        <w:rPr>
          <w:rFonts w:ascii="Courier New" w:hAnsi="Courier New" w:cs="Courier New"/>
          <w:sz w:val="16"/>
        </w:rPr>
        <w:tab/>
        <w:t>Line 183: // TODO:  repeated conditionals, consider refactoring</w:t>
      </w:r>
    </w:p>
    <w:p w:rsidR="002A14BA" w:rsidRPr="002A14BA" w:rsidRDefault="002A14BA" w:rsidP="002A14BA">
      <w:pPr>
        <w:pStyle w:val="ListParagraph"/>
        <w:rPr>
          <w:rFonts w:ascii="Courier New" w:hAnsi="Courier New" w:cs="Courier New"/>
          <w:sz w:val="16"/>
        </w:rPr>
      </w:pPr>
      <w:r w:rsidRPr="002A14BA">
        <w:rPr>
          <w:rFonts w:ascii="Courier New" w:hAnsi="Courier New" w:cs="Courier New"/>
          <w:sz w:val="16"/>
        </w:rPr>
        <w:tab/>
        <w:t>Line 333: // TODO:  repeated conditionals, consider refactoring</w:t>
      </w:r>
    </w:p>
    <w:p w:rsidR="002A14BA" w:rsidRPr="002A14BA" w:rsidRDefault="002A14BA" w:rsidP="002A14BA">
      <w:pPr>
        <w:pStyle w:val="ListParagraph"/>
        <w:rPr>
          <w:rFonts w:ascii="Courier New" w:hAnsi="Courier New" w:cs="Courier New"/>
          <w:sz w:val="16"/>
        </w:rPr>
      </w:pPr>
      <w:r w:rsidRPr="002A14BA">
        <w:rPr>
          <w:rFonts w:ascii="Courier New" w:hAnsi="Courier New" w:cs="Courier New"/>
          <w:sz w:val="16"/>
        </w:rPr>
        <w:t xml:space="preserve">  Asheville\INCLUDES_CUSTOM\updateC</w:t>
      </w:r>
      <w:r>
        <w:rPr>
          <w:rFonts w:ascii="Courier New" w:hAnsi="Courier New" w:cs="Courier New"/>
          <w:sz w:val="16"/>
        </w:rPr>
        <w:t>ommercialBuildingFees.js</w:t>
      </w:r>
    </w:p>
    <w:p w:rsidR="002A14BA" w:rsidRPr="002A14BA" w:rsidRDefault="002A14BA" w:rsidP="002A14BA">
      <w:pPr>
        <w:pStyle w:val="ListParagraph"/>
        <w:rPr>
          <w:rFonts w:ascii="Courier New" w:hAnsi="Courier New" w:cs="Courier New"/>
          <w:sz w:val="16"/>
        </w:rPr>
      </w:pPr>
      <w:r w:rsidRPr="002A14BA">
        <w:rPr>
          <w:rFonts w:ascii="Courier New" w:hAnsi="Courier New" w:cs="Courier New"/>
          <w:sz w:val="16"/>
        </w:rPr>
        <w:tab/>
        <w:t>Line 1: // TODO:  function not referenced in master script migration</w:t>
      </w:r>
    </w:p>
    <w:p w:rsidR="002A14BA" w:rsidRPr="002A14BA" w:rsidRDefault="002A14BA" w:rsidP="002A14BA">
      <w:pPr>
        <w:pStyle w:val="ListParagraph"/>
        <w:rPr>
          <w:rFonts w:ascii="Courier New" w:hAnsi="Courier New" w:cs="Courier New"/>
          <w:sz w:val="16"/>
        </w:rPr>
      </w:pPr>
      <w:r w:rsidRPr="002A14BA">
        <w:rPr>
          <w:rFonts w:ascii="Courier New" w:hAnsi="Courier New" w:cs="Courier New"/>
          <w:sz w:val="16"/>
        </w:rPr>
        <w:t xml:space="preserve">  Asheville\INCLUDES_CUSTOM\updateMisc</w:t>
      </w:r>
      <w:r>
        <w:rPr>
          <w:rFonts w:ascii="Courier New" w:hAnsi="Courier New" w:cs="Courier New"/>
          <w:sz w:val="16"/>
        </w:rPr>
        <w:t>Fees.js</w:t>
      </w:r>
    </w:p>
    <w:p w:rsidR="002A14BA" w:rsidRPr="002A14BA" w:rsidRDefault="002A14BA" w:rsidP="002A14BA">
      <w:pPr>
        <w:pStyle w:val="ListParagraph"/>
        <w:rPr>
          <w:rFonts w:ascii="Courier New" w:hAnsi="Courier New" w:cs="Courier New"/>
          <w:sz w:val="16"/>
        </w:rPr>
      </w:pPr>
      <w:r w:rsidRPr="002A14BA">
        <w:rPr>
          <w:rFonts w:ascii="Courier New" w:hAnsi="Courier New" w:cs="Courier New"/>
          <w:sz w:val="16"/>
        </w:rPr>
        <w:tab/>
        <w:t>Line 1: // TODO:  function not referenced in master script migration</w:t>
      </w:r>
    </w:p>
    <w:p w:rsidR="002A14BA" w:rsidRPr="002A14BA" w:rsidRDefault="002A14BA" w:rsidP="002A14BA">
      <w:pPr>
        <w:pStyle w:val="ListParagraph"/>
        <w:rPr>
          <w:rFonts w:ascii="Courier New" w:hAnsi="Courier New" w:cs="Courier New"/>
          <w:sz w:val="16"/>
        </w:rPr>
      </w:pPr>
      <w:r w:rsidRPr="002A14BA">
        <w:rPr>
          <w:rFonts w:ascii="Courier New" w:hAnsi="Courier New" w:cs="Courier New"/>
          <w:sz w:val="16"/>
        </w:rPr>
        <w:t xml:space="preserve">  Asheville\INCLUDES_</w:t>
      </w:r>
      <w:r>
        <w:rPr>
          <w:rFonts w:ascii="Courier New" w:hAnsi="Courier New" w:cs="Courier New"/>
          <w:sz w:val="16"/>
        </w:rPr>
        <w:t>CUSTOM\updateSiteFees.js</w:t>
      </w:r>
    </w:p>
    <w:p w:rsidR="002A14BA" w:rsidRPr="002A14BA" w:rsidRDefault="002A14BA" w:rsidP="002A14BA">
      <w:pPr>
        <w:pStyle w:val="ListParagraph"/>
        <w:rPr>
          <w:rFonts w:ascii="Courier New" w:hAnsi="Courier New" w:cs="Courier New"/>
          <w:sz w:val="16"/>
        </w:rPr>
      </w:pPr>
      <w:r w:rsidRPr="002A14BA">
        <w:rPr>
          <w:rFonts w:ascii="Courier New" w:hAnsi="Courier New" w:cs="Courier New"/>
          <w:sz w:val="16"/>
        </w:rPr>
        <w:tab/>
        <w:t>Line 1: // TODO:  function not referenced in master script migration</w:t>
      </w:r>
    </w:p>
    <w:p w:rsidR="002A14BA" w:rsidRPr="002A14BA" w:rsidRDefault="002A14BA" w:rsidP="002A14BA">
      <w:pPr>
        <w:pStyle w:val="ListParagraph"/>
        <w:rPr>
          <w:rFonts w:ascii="Courier New" w:hAnsi="Courier New" w:cs="Courier New"/>
          <w:sz w:val="16"/>
        </w:rPr>
      </w:pPr>
      <w:r w:rsidRPr="002A14BA">
        <w:rPr>
          <w:rFonts w:ascii="Courier New" w:hAnsi="Courier New" w:cs="Courier New"/>
          <w:sz w:val="16"/>
        </w:rPr>
        <w:t xml:space="preserve">  Asheville\INCLUDES_CUSTOM\att</w:t>
      </w:r>
      <w:r>
        <w:rPr>
          <w:rFonts w:ascii="Courier New" w:hAnsi="Courier New" w:cs="Courier New"/>
          <w:sz w:val="16"/>
        </w:rPr>
        <w:t>achSubCloseOutProcess.js</w:t>
      </w:r>
    </w:p>
    <w:p w:rsidR="002A14BA" w:rsidRPr="002A14BA" w:rsidRDefault="002A14BA" w:rsidP="002A14BA">
      <w:pPr>
        <w:pStyle w:val="ListParagraph"/>
        <w:rPr>
          <w:rFonts w:ascii="Courier New" w:hAnsi="Courier New" w:cs="Courier New"/>
          <w:sz w:val="16"/>
        </w:rPr>
      </w:pPr>
      <w:r w:rsidRPr="002A14BA">
        <w:rPr>
          <w:rFonts w:ascii="Courier New" w:hAnsi="Courier New" w:cs="Courier New"/>
          <w:sz w:val="16"/>
        </w:rPr>
        <w:tab/>
        <w:t>Line 1: // TODO:  function not referenced in master script migration</w:t>
      </w:r>
    </w:p>
    <w:p w:rsidR="002A14BA" w:rsidRPr="002A14BA" w:rsidRDefault="002A14BA" w:rsidP="002A14BA">
      <w:pPr>
        <w:pStyle w:val="ListParagraph"/>
        <w:rPr>
          <w:rFonts w:ascii="Courier New" w:hAnsi="Courier New" w:cs="Courier New"/>
          <w:sz w:val="16"/>
        </w:rPr>
      </w:pPr>
      <w:r w:rsidRPr="002A14BA">
        <w:rPr>
          <w:rFonts w:ascii="Courier New" w:hAnsi="Courier New" w:cs="Courier New"/>
          <w:sz w:val="16"/>
        </w:rPr>
        <w:t xml:space="preserve">  Asheville\INCLUDES_CUSTOM\closeOutDocTaskActiv</w:t>
      </w:r>
      <w:r>
        <w:rPr>
          <w:rFonts w:ascii="Courier New" w:hAnsi="Courier New" w:cs="Courier New"/>
          <w:sz w:val="16"/>
        </w:rPr>
        <w:t>e.js</w:t>
      </w:r>
    </w:p>
    <w:p w:rsidR="002A14BA" w:rsidRPr="002A14BA" w:rsidRDefault="002A14BA" w:rsidP="002A14BA">
      <w:pPr>
        <w:pStyle w:val="ListParagraph"/>
        <w:rPr>
          <w:rFonts w:ascii="Courier New" w:hAnsi="Courier New" w:cs="Courier New"/>
          <w:sz w:val="16"/>
        </w:rPr>
      </w:pPr>
      <w:r w:rsidRPr="002A14BA">
        <w:rPr>
          <w:rFonts w:ascii="Courier New" w:hAnsi="Courier New" w:cs="Courier New"/>
          <w:sz w:val="16"/>
        </w:rPr>
        <w:tab/>
        <w:t>Line 1: // TODO:  function not referenced in master script migration</w:t>
      </w:r>
    </w:p>
    <w:p w:rsidR="002A14BA" w:rsidRPr="002A14BA" w:rsidRDefault="002A14BA" w:rsidP="002A14BA">
      <w:pPr>
        <w:pStyle w:val="ListParagraph"/>
        <w:rPr>
          <w:rFonts w:ascii="Courier New" w:hAnsi="Courier New" w:cs="Courier New"/>
          <w:sz w:val="16"/>
        </w:rPr>
      </w:pPr>
      <w:r w:rsidRPr="002A14BA">
        <w:rPr>
          <w:rFonts w:ascii="Courier New" w:hAnsi="Courier New" w:cs="Courier New"/>
          <w:sz w:val="16"/>
        </w:rPr>
        <w:t xml:space="preserve">  Asheville\INCLUDES_CUST</w:t>
      </w:r>
      <w:r>
        <w:rPr>
          <w:rFonts w:ascii="Courier New" w:hAnsi="Courier New" w:cs="Courier New"/>
          <w:sz w:val="16"/>
        </w:rPr>
        <w:t>OM\deactivateSubTasks.js</w:t>
      </w:r>
    </w:p>
    <w:p w:rsidR="002A14BA" w:rsidRPr="002A14BA" w:rsidRDefault="002A14BA" w:rsidP="002A14BA">
      <w:pPr>
        <w:pStyle w:val="ListParagraph"/>
        <w:rPr>
          <w:rFonts w:ascii="Courier New" w:hAnsi="Courier New" w:cs="Courier New"/>
          <w:sz w:val="16"/>
        </w:rPr>
      </w:pPr>
      <w:r w:rsidRPr="002A14BA">
        <w:rPr>
          <w:rFonts w:ascii="Courier New" w:hAnsi="Courier New" w:cs="Courier New"/>
          <w:sz w:val="16"/>
        </w:rPr>
        <w:tab/>
        <w:t>Line 1: // TODO:  function not referenced in master script migration</w:t>
      </w:r>
    </w:p>
    <w:p w:rsidR="002A14BA" w:rsidRPr="002A14BA" w:rsidRDefault="002A14BA" w:rsidP="002A14BA">
      <w:pPr>
        <w:pStyle w:val="ListParagraph"/>
        <w:rPr>
          <w:rFonts w:ascii="Courier New" w:hAnsi="Courier New" w:cs="Courier New"/>
          <w:sz w:val="16"/>
        </w:rPr>
      </w:pPr>
      <w:r w:rsidRPr="002A14BA">
        <w:rPr>
          <w:rFonts w:ascii="Courier New" w:hAnsi="Courier New" w:cs="Courier New"/>
          <w:sz w:val="16"/>
        </w:rPr>
        <w:t xml:space="preserve">  Asheville\INCLUDES_CUSTOM\d</w:t>
      </w:r>
      <w:r>
        <w:rPr>
          <w:rFonts w:ascii="Courier New" w:hAnsi="Courier New" w:cs="Courier New"/>
          <w:sz w:val="16"/>
        </w:rPr>
        <w:t>oesTaskHaveSubProcess.js</w:t>
      </w:r>
    </w:p>
    <w:p w:rsidR="00855856" w:rsidRPr="002A14BA" w:rsidRDefault="002A14BA" w:rsidP="002A14BA">
      <w:pPr>
        <w:pStyle w:val="ListParagraph"/>
        <w:rPr>
          <w:rFonts w:ascii="Courier New" w:hAnsi="Courier New" w:cs="Courier New"/>
          <w:sz w:val="16"/>
        </w:rPr>
      </w:pPr>
      <w:r w:rsidRPr="002A14BA">
        <w:rPr>
          <w:rFonts w:ascii="Courier New" w:hAnsi="Courier New" w:cs="Courier New"/>
          <w:sz w:val="16"/>
        </w:rPr>
        <w:tab/>
        <w:t>Line 1: // TODO:  function not referenced in master script migration</w:t>
      </w:r>
    </w:p>
    <w:p w:rsidR="00F66215" w:rsidRDefault="00F66215" w:rsidP="00F66215"/>
    <w:p w:rsidR="00CE3968" w:rsidRDefault="004C12EC" w:rsidP="00CE3968">
      <w:pPr>
        <w:pStyle w:val="Heading2"/>
      </w:pPr>
      <w:r>
        <w:t>Script Repository</w:t>
      </w:r>
    </w:p>
    <w:p w:rsidR="00586B84" w:rsidRDefault="00CE3968" w:rsidP="00CE3968">
      <w:r>
        <w:t xml:space="preserve">The master script </w:t>
      </w:r>
      <w:r w:rsidR="00492A0F">
        <w:t>3</w:t>
      </w:r>
      <w:r>
        <w:t xml:space="preserve">.0 </w:t>
      </w:r>
      <w:r w:rsidR="002A14BA">
        <w:t xml:space="preserve">deployment </w:t>
      </w:r>
      <w:r w:rsidR="004C12EC">
        <w:t xml:space="preserve">is </w:t>
      </w:r>
      <w:r w:rsidR="002A14BA">
        <w:t xml:space="preserve">temporarily </w:t>
      </w:r>
      <w:r w:rsidR="004C12EC">
        <w:t xml:space="preserve">located in </w:t>
      </w:r>
      <w:r w:rsidR="002A14BA">
        <w:t>an Assembla repository</w:t>
      </w:r>
    </w:p>
    <w:p w:rsidR="00F960B1" w:rsidRDefault="00F960B1" w:rsidP="00CE3968"/>
    <w:tbl>
      <w:tblPr>
        <w:tblStyle w:val="TableGrid"/>
        <w:tblW w:w="0" w:type="auto"/>
        <w:tblLook w:val="04A0" w:firstRow="1" w:lastRow="0" w:firstColumn="1" w:lastColumn="0" w:noHBand="0" w:noVBand="1"/>
      </w:tblPr>
      <w:tblGrid>
        <w:gridCol w:w="2326"/>
        <w:gridCol w:w="7269"/>
      </w:tblGrid>
      <w:tr w:rsidR="00586B84" w:rsidTr="009A7E9D">
        <w:tc>
          <w:tcPr>
            <w:tcW w:w="2326" w:type="dxa"/>
          </w:tcPr>
          <w:p w:rsidR="00586B84" w:rsidRDefault="00586B84" w:rsidP="00CE3968">
            <w:r>
              <w:t>Repository Site</w:t>
            </w:r>
          </w:p>
        </w:tc>
        <w:tc>
          <w:tcPr>
            <w:tcW w:w="7269" w:type="dxa"/>
          </w:tcPr>
          <w:p w:rsidR="00586B84" w:rsidRDefault="002A14BA" w:rsidP="002A14BA">
            <w:r>
              <w:t>Assembla.com</w:t>
            </w:r>
          </w:p>
        </w:tc>
      </w:tr>
      <w:tr w:rsidR="00586B84" w:rsidTr="009A7E9D">
        <w:tc>
          <w:tcPr>
            <w:tcW w:w="2326" w:type="dxa"/>
          </w:tcPr>
          <w:p w:rsidR="00586B84" w:rsidRDefault="00586B84" w:rsidP="00CE3968">
            <w:r>
              <w:t>Repository URL</w:t>
            </w:r>
          </w:p>
        </w:tc>
        <w:tc>
          <w:tcPr>
            <w:tcW w:w="7269" w:type="dxa"/>
          </w:tcPr>
          <w:p w:rsidR="00586B84" w:rsidRDefault="002A14BA" w:rsidP="005B2103">
            <w:r w:rsidRPr="002A14BA">
              <w:t>https://subversion.assembla.com/svn/asheville/trunk/DEV</w:t>
            </w:r>
          </w:p>
        </w:tc>
      </w:tr>
    </w:tbl>
    <w:p w:rsidR="00586B84" w:rsidRDefault="00586B84" w:rsidP="00CE3968"/>
    <w:p w:rsidR="004C12EC" w:rsidRDefault="004C12EC" w:rsidP="00CE3968"/>
    <w:p w:rsidR="004C12EC" w:rsidRDefault="00586B84" w:rsidP="00CE3968">
      <w:r>
        <w:t>To connect to the repository, the “</w:t>
      </w:r>
      <w:proofErr w:type="spellStart"/>
      <w:r>
        <w:t>EMSEToolConfig</w:t>
      </w:r>
      <w:proofErr w:type="spellEnd"/>
      <w:r>
        <w:t xml:space="preserve">” standard choice will need to be configured as </w:t>
      </w:r>
      <w:r w:rsidR="00F960B1">
        <w:t>per the Accela documentation.</w:t>
      </w:r>
      <w:r>
        <w:t xml:space="preserve">    </w:t>
      </w:r>
      <w:r w:rsidR="0058480B">
        <w:t xml:space="preserve"> </w:t>
      </w:r>
      <w:r>
        <w:t>Once added, the “</w:t>
      </w:r>
      <w:proofErr w:type="spellStart"/>
      <w:r>
        <w:t>EMSETool</w:t>
      </w:r>
      <w:proofErr w:type="spellEnd"/>
      <w:r>
        <w:t xml:space="preserve">” portlet can be added to an administrator console.   </w:t>
      </w:r>
    </w:p>
    <w:p w:rsidR="004C12EC" w:rsidRDefault="004C12EC" w:rsidP="00CE3968"/>
    <w:p w:rsidR="004C12EC" w:rsidRDefault="004C12EC" w:rsidP="00CE3968"/>
    <w:p w:rsidR="0058480B" w:rsidRDefault="0058480B" w:rsidP="0058480B">
      <w:pPr>
        <w:pStyle w:val="Heading2"/>
      </w:pPr>
      <w:r>
        <w:t>Standard Choices</w:t>
      </w:r>
    </w:p>
    <w:p w:rsidR="0058480B" w:rsidRDefault="0058480B" w:rsidP="0058480B">
      <w:r>
        <w:t xml:space="preserve">The following Standard Choices need to be configured.   These are documented in the Master Script distribution in the documentation folder.  </w:t>
      </w:r>
    </w:p>
    <w:p w:rsidR="0058480B" w:rsidRDefault="0058480B" w:rsidP="0058480B"/>
    <w:p w:rsidR="0058480B" w:rsidRDefault="0058480B" w:rsidP="0058480B">
      <w:pPr>
        <w:pStyle w:val="ListParagraph"/>
        <w:numPr>
          <w:ilvl w:val="0"/>
          <w:numId w:val="6"/>
        </w:numPr>
      </w:pPr>
      <w:r>
        <w:t xml:space="preserve">EMSE_EXECUTE_OPTIONS determines if Scripts or Standard Choices, or both should be executed by the master script. </w:t>
      </w:r>
    </w:p>
    <w:p w:rsidR="0058480B" w:rsidRDefault="0058480B" w:rsidP="0058480B">
      <w:pPr>
        <w:pStyle w:val="ListParagraph"/>
        <w:numPr>
          <w:ilvl w:val="0"/>
          <w:numId w:val="6"/>
        </w:numPr>
      </w:pPr>
      <w:r>
        <w:t>EMSE_VARIABLE_BRANCH_PREFIX determines the naming convention used to determine if a script is associated to a particular event.</w:t>
      </w:r>
    </w:p>
    <w:p w:rsidR="0058480B" w:rsidRDefault="0058480B" w:rsidP="0058480B"/>
    <w:p w:rsidR="0058480B" w:rsidRDefault="0058480B" w:rsidP="0058480B"/>
    <w:p w:rsidR="0058480B" w:rsidRDefault="0058480B" w:rsidP="0058480B">
      <w:r w:rsidRPr="0058480B">
        <w:rPr>
          <w:noProof/>
        </w:rPr>
        <w:drawing>
          <wp:inline distT="0" distB="0" distL="0" distR="0" wp14:anchorId="2CEDBACD" wp14:editId="7DAF23F8">
            <wp:extent cx="4857750" cy="1197769"/>
            <wp:effectExtent l="0" t="0" r="0" b="2540"/>
            <wp:docPr id="317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7"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57750" cy="1197769"/>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rsidR="0058480B" w:rsidRDefault="0058480B" w:rsidP="0058480B"/>
    <w:p w:rsidR="0058480B" w:rsidRDefault="0058480B" w:rsidP="0058480B"/>
    <w:p w:rsidR="0058480B" w:rsidRPr="0058480B" w:rsidRDefault="0058480B" w:rsidP="0058480B">
      <w:r w:rsidRPr="0058480B">
        <w:rPr>
          <w:noProof/>
        </w:rPr>
        <w:drawing>
          <wp:inline distT="0" distB="0" distL="0" distR="0" wp14:anchorId="1C282F1D" wp14:editId="51DE89E3">
            <wp:extent cx="2665809" cy="1870472"/>
            <wp:effectExtent l="0" t="0" r="1270" b="0"/>
            <wp:docPr id="317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9"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65809" cy="1870472"/>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rsidR="0058480B" w:rsidRDefault="0058480B" w:rsidP="00CE3968"/>
    <w:p w:rsidR="00B43E09" w:rsidRDefault="00B43E09" w:rsidP="00CE3968">
      <w:pPr>
        <w:pStyle w:val="ListParagraph"/>
      </w:pPr>
    </w:p>
    <w:p w:rsidR="00B43E09" w:rsidRDefault="00B43E09" w:rsidP="00B43E09">
      <w:pPr>
        <w:pStyle w:val="Heading2"/>
        <w:rPr>
          <w:noProof/>
        </w:rPr>
      </w:pPr>
      <w:r>
        <w:t>Event to Script Mapping After Upgrade</w:t>
      </w:r>
    </w:p>
    <w:p w:rsidR="00B43E09" w:rsidRDefault="009137E5" w:rsidP="009137E5">
      <w:r>
        <w:t>TBD</w:t>
      </w:r>
    </w:p>
    <w:p w:rsidR="00B43E09" w:rsidRDefault="00B43E09" w:rsidP="00CE3968">
      <w:pPr>
        <w:pStyle w:val="ListParagraph"/>
      </w:pPr>
    </w:p>
    <w:p w:rsidR="009F3CE9" w:rsidRDefault="009F3CE9" w:rsidP="00CE3968">
      <w:pPr>
        <w:pStyle w:val="ListParagraph"/>
      </w:pPr>
    </w:p>
    <w:sectPr w:rsidR="009F3CE9" w:rsidSect="00CE3968">
      <w:headerReference w:type="default" r:id="rId20"/>
      <w:footerReference w:type="default" r:id="rId21"/>
      <w:pgSz w:w="12240" w:h="15840"/>
      <w:pgMar w:top="1890" w:right="907" w:bottom="1440" w:left="1728"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274F" w:rsidRDefault="0022274F" w:rsidP="00D40B02">
      <w:r>
        <w:separator/>
      </w:r>
    </w:p>
  </w:endnote>
  <w:endnote w:type="continuationSeparator" w:id="0">
    <w:p w:rsidR="0022274F" w:rsidRDefault="0022274F" w:rsidP="00D40B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Interstate Regular">
    <w:panose1 w:val="02000503020000020004"/>
    <w:charset w:val="00"/>
    <w:family w:val="modern"/>
    <w:notTrueType/>
    <w:pitch w:val="variable"/>
    <w:sig w:usb0="800000AF" w:usb1="5000204A" w:usb2="00000000" w:usb3="00000000" w:csb0="00000001" w:csb1="00000000"/>
  </w:font>
  <w:font w:name="Interstate Bold">
    <w:panose1 w:val="02000503030000020004"/>
    <w:charset w:val="00"/>
    <w:family w:val="modern"/>
    <w:notTrueType/>
    <w:pitch w:val="variable"/>
    <w:sig w:usb0="800000AF" w:usb1="5000204A" w:usb2="00000000" w:usb3="00000000" w:csb0="00000001"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Interstate Light">
    <w:panose1 w:val="02000506030000020004"/>
    <w:charset w:val="00"/>
    <w:family w:val="modern"/>
    <w:notTrueType/>
    <w:pitch w:val="variable"/>
    <w:sig w:usb0="800000AF" w:usb1="5000204A" w:usb2="00000000" w:usb3="00000000" w:csb0="00000001" w:csb1="00000000"/>
  </w:font>
  <w:font w:name="Brandon Grotesque Bold">
    <w:altName w:val="Trebuchet MS"/>
    <w:charset w:val="00"/>
    <w:family w:val="auto"/>
    <w:pitch w:val="variable"/>
    <w:sig w:usb0="00000001" w:usb1="5000205B" w:usb2="00000000" w:usb3="00000000" w:csb0="0000009B" w:csb1="00000000"/>
  </w:font>
  <w:font w:name="Brandon Grotesque Medium">
    <w:charset w:val="00"/>
    <w:family w:val="auto"/>
    <w:pitch w:val="variable"/>
    <w:sig w:usb0="A000002F" w:usb1="5000205B" w:usb2="00000000" w:usb3="00000000" w:csb0="0000009B"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53E1" w:rsidRDefault="000B53E1" w:rsidP="0001128A">
    <w:pPr>
      <w:pStyle w:val="Footer"/>
      <w:ind w:left="-1800"/>
    </w:pPr>
    <w:r>
      <w:rPr>
        <w:noProof/>
      </w:rPr>
      <mc:AlternateContent>
        <mc:Choice Requires="wps">
          <w:drawing>
            <wp:anchor distT="0" distB="0" distL="114300" distR="114300" simplePos="0" relativeHeight="251656704" behindDoc="0" locked="0" layoutInCell="1" allowOverlap="1" wp14:anchorId="1DE3B2C6" wp14:editId="434E24D4">
              <wp:simplePos x="0" y="0"/>
              <wp:positionH relativeFrom="column">
                <wp:posOffset>-113665</wp:posOffset>
              </wp:positionH>
              <wp:positionV relativeFrom="paragraph">
                <wp:posOffset>-781685</wp:posOffset>
              </wp:positionV>
              <wp:extent cx="6400800" cy="800100"/>
              <wp:effectExtent l="0" t="0" r="0" b="12700"/>
              <wp:wrapNone/>
              <wp:docPr id="22" name="Text Box 22"/>
              <wp:cNvGraphicFramePr/>
              <a:graphic xmlns:a="http://schemas.openxmlformats.org/drawingml/2006/main">
                <a:graphicData uri="http://schemas.microsoft.com/office/word/2010/wordprocessingShape">
                  <wps:wsp>
                    <wps:cNvSpPr txBox="1"/>
                    <wps:spPr>
                      <a:xfrm>
                        <a:off x="0" y="0"/>
                        <a:ext cx="6400800" cy="800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0B53E1" w:rsidRPr="002E6B7A" w:rsidRDefault="000B53E1" w:rsidP="00B615CF">
                          <w:pPr>
                            <w:spacing w:line="180" w:lineRule="exact"/>
                            <w:rPr>
                              <w:rFonts w:ascii="Interstate Bold" w:hAnsi="Interstate Bold"/>
                              <w:color w:val="002C76"/>
                              <w:sz w:val="16"/>
                              <w:szCs w:val="16"/>
                            </w:rPr>
                          </w:pPr>
                          <w:r w:rsidRPr="002E6B7A">
                            <w:rPr>
                              <w:rFonts w:ascii="Interstate Bold" w:hAnsi="Interstate Bold"/>
                              <w:color w:val="002C76"/>
                              <w:sz w:val="16"/>
                              <w:szCs w:val="16"/>
                            </w:rPr>
                            <w:t>About Accela</w:t>
                          </w:r>
                        </w:p>
                        <w:p w:rsidR="000B53E1" w:rsidRPr="00A85611" w:rsidRDefault="000B53E1" w:rsidP="00B615CF">
                          <w:pPr>
                            <w:spacing w:line="180" w:lineRule="exact"/>
                            <w:rPr>
                              <w:rFonts w:ascii="Interstate Light" w:hAnsi="Interstate Light"/>
                              <w:color w:val="808080"/>
                              <w:sz w:val="12"/>
                              <w:szCs w:val="12"/>
                            </w:rPr>
                          </w:pPr>
                          <w:r w:rsidRPr="00A85611">
                            <w:rPr>
                              <w:rFonts w:ascii="Interstate Light" w:hAnsi="Interstate Light" w:cs="Calibri"/>
                              <w:color w:val="808080"/>
                              <w:sz w:val="12"/>
                              <w:szCs w:val="12"/>
                            </w:rPr>
                            <w:t xml:space="preserve">Accela provides cloud-based civic engagement solutions for government. Accela's Civic Platform, which includes open APIs and mobile apps, enables and improves core processes for city, county, state and federal governments. Accela’s solutions uniquely address the diverse needs of their constituents by making publicly available information more accessible. The Accela Civic Platform includes solutions for land management, asset management, licensing and case management, legislative management and more. With more than 2,000 customers worldwide, Accela is headquartered in San Ramon, California, with offices in San Francisco, New York, Portland, Melbourne and Dubai. For more information, visit </w:t>
                          </w:r>
                          <w:hyperlink r:id="rId1" w:history="1">
                            <w:r w:rsidRPr="00A85611">
                              <w:rPr>
                                <w:rFonts w:ascii="Interstate Light" w:hAnsi="Interstate Light" w:cs="Calibri"/>
                                <w:color w:val="808080"/>
                                <w:sz w:val="12"/>
                                <w:szCs w:val="12"/>
                                <w:u w:val="single" w:color="0000FF"/>
                              </w:rPr>
                              <w:t>www.accela.com</w:t>
                            </w:r>
                          </w:hyperlink>
                          <w:r w:rsidRPr="00A85611">
                            <w:rPr>
                              <w:rFonts w:ascii="Interstate Light" w:hAnsi="Interstate Light" w:cs="Calibri"/>
                              <w:color w:val="808080"/>
                              <w:sz w:val="12"/>
                              <w:szCs w:val="12"/>
                            </w:rPr>
                            <w:t>.</w:t>
                          </w:r>
                        </w:p>
                        <w:p w:rsidR="000B53E1" w:rsidRPr="00E65ADD" w:rsidRDefault="000B53E1">
                          <w:pPr>
                            <w:rPr>
                              <w:rFonts w:ascii="Interstate Light" w:hAnsi="Interstate Light"/>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E3B2C6" id="_x0000_t202" coordsize="21600,21600" o:spt="202" path="m,l,21600r21600,l21600,xe">
              <v:stroke joinstyle="miter"/>
              <v:path gradientshapeok="t" o:connecttype="rect"/>
            </v:shapetype>
            <v:shape id="Text Box 22" o:spid="_x0000_s1026" type="#_x0000_t202" style="position:absolute;left:0;text-align:left;margin-left:-8.95pt;margin-top:-61.55pt;width:7in;height:6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" filled="f" stroked="f">
              <v:textbox>
                <w:txbxContent>
                  <w:p w:rsidR="000B53E1" w:rsidRPr="002E6B7A" w:rsidRDefault="000B53E1" w:rsidP="00B615CF">
                    <w:pPr>
                      <w:spacing w:line="180" w:lineRule="exact"/>
                      <w:rPr>
                        <w:rFonts w:ascii="Interstate Bold" w:hAnsi="Interstate Bold"/>
                        <w:color w:val="002C76"/>
                        <w:sz w:val="16"/>
                        <w:szCs w:val="16"/>
                      </w:rPr>
                    </w:pPr>
                    <w:r w:rsidRPr="002E6B7A">
                      <w:rPr>
                        <w:rFonts w:ascii="Interstate Bold" w:hAnsi="Interstate Bold"/>
                        <w:color w:val="002C76"/>
                        <w:sz w:val="16"/>
                        <w:szCs w:val="16"/>
                      </w:rPr>
                      <w:t>About Accela</w:t>
                    </w:r>
                  </w:p>
                  <w:p w:rsidR="000B53E1" w:rsidRPr="00A85611" w:rsidRDefault="000B53E1" w:rsidP="00B615CF">
                    <w:pPr>
                      <w:spacing w:line="180" w:lineRule="exact"/>
                      <w:rPr>
                        <w:rFonts w:ascii="Interstate Light" w:hAnsi="Interstate Light"/>
                        <w:color w:val="808080"/>
                        <w:sz w:val="12"/>
                        <w:szCs w:val="12"/>
                      </w:rPr>
                    </w:pPr>
                    <w:r w:rsidRPr="00A85611">
                      <w:rPr>
                        <w:rFonts w:ascii="Interstate Light" w:hAnsi="Interstate Light" w:cs="Calibri"/>
                        <w:color w:val="808080"/>
                        <w:sz w:val="12"/>
                        <w:szCs w:val="12"/>
                      </w:rPr>
                      <w:t xml:space="preserve">Accela provides cloud-based civic engagement solutions for government. Accela's Civic Platform, which includes open APIs and mobile apps, enables and improves core processes for city, county, state and federal governments. Accela’s solutions uniquely address the diverse needs of their constituents by making publicly available information more accessible. The Accela Civic Platform includes solutions for land management, asset management, licensing and case management, legislative management and more. With more than 2,000 customers worldwide, Accela is headquartered in San Ramon, California, with offices in San Francisco, New York, Portland, Melbourne and Dubai. For more information, visit </w:t>
                    </w:r>
                    <w:hyperlink r:id="rId2" w:history="1">
                      <w:r w:rsidRPr="00A85611">
                        <w:rPr>
                          <w:rFonts w:ascii="Interstate Light" w:hAnsi="Interstate Light" w:cs="Calibri"/>
                          <w:color w:val="808080"/>
                          <w:sz w:val="12"/>
                          <w:szCs w:val="12"/>
                          <w:u w:val="single" w:color="0000FF"/>
                        </w:rPr>
                        <w:t>www.accela.com</w:t>
                      </w:r>
                    </w:hyperlink>
                    <w:r w:rsidRPr="00A85611">
                      <w:rPr>
                        <w:rFonts w:ascii="Interstate Light" w:hAnsi="Interstate Light" w:cs="Calibri"/>
                        <w:color w:val="808080"/>
                        <w:sz w:val="12"/>
                        <w:szCs w:val="12"/>
                      </w:rPr>
                      <w:t>.</w:t>
                    </w:r>
                  </w:p>
                  <w:p w:rsidR="000B53E1" w:rsidRPr="00E65ADD" w:rsidRDefault="000B53E1">
                    <w:pPr>
                      <w:rPr>
                        <w:rFonts w:ascii="Interstate Light" w:hAnsi="Interstate Light"/>
                        <w:sz w:val="12"/>
                        <w:szCs w:val="12"/>
                      </w:rP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274F" w:rsidRDefault="0022274F" w:rsidP="00D40B02">
      <w:r>
        <w:separator/>
      </w:r>
    </w:p>
  </w:footnote>
  <w:footnote w:type="continuationSeparator" w:id="0">
    <w:p w:rsidR="0022274F" w:rsidRDefault="0022274F" w:rsidP="00D40B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53E1" w:rsidRDefault="0022274F" w:rsidP="00D40B02">
    <w:pPr>
      <w:pStyle w:val="Header"/>
      <w:ind w:left="-1800"/>
    </w:pPr>
    <w:sdt>
      <w:sdtPr>
        <w:id w:val="-355273251"/>
        <w:docPartObj>
          <w:docPartGallery w:val="Watermarks"/>
          <w:docPartUnique/>
        </w:docPartObj>
      </w:sdtPr>
      <w:sdtEndPr/>
      <w:sdtContent>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left:0;text-align:left;margin-left:0;margin-top:0;width:412.4pt;height:247.45pt;rotation:315;z-index:-25165772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0B53E1">
      <w:rPr>
        <w:noProof/>
      </w:rPr>
      <w:drawing>
        <wp:anchor distT="0" distB="0" distL="114300" distR="114300" simplePos="0" relativeHeight="251657728" behindDoc="0" locked="0" layoutInCell="1" allowOverlap="1" wp14:anchorId="04F4EADF" wp14:editId="42E31D31">
          <wp:simplePos x="0" y="0"/>
          <wp:positionH relativeFrom="column">
            <wp:posOffset>0</wp:posOffset>
          </wp:positionH>
          <wp:positionV relativeFrom="paragraph">
            <wp:posOffset>368300</wp:posOffset>
          </wp:positionV>
          <wp:extent cx="6057900" cy="448945"/>
          <wp:effectExtent l="0" t="0" r="12700" b="825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header.eps"/>
                  <pic:cNvPicPr/>
                </pic:nvPicPr>
                <pic:blipFill>
                  <a:blip r:embed="rId1">
                    <a:extLst>
                      <a:ext uri="{28A0092B-C50C-407E-A947-70E740481C1C}">
                        <a14:useLocalDpi xmlns:a14="http://schemas.microsoft.com/office/drawing/2010/main" val="0"/>
                      </a:ext>
                    </a:extLst>
                  </a:blip>
                  <a:stretch>
                    <a:fillRect/>
                  </a:stretch>
                </pic:blipFill>
                <pic:spPr>
                  <a:xfrm>
                    <a:off x="0" y="0"/>
                    <a:ext cx="6057900" cy="44894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13010"/>
    <w:multiLevelType w:val="hybridMultilevel"/>
    <w:tmpl w:val="E40AC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D2660"/>
    <w:multiLevelType w:val="hybridMultilevel"/>
    <w:tmpl w:val="E1CE1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54009D"/>
    <w:multiLevelType w:val="hybridMultilevel"/>
    <w:tmpl w:val="78945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32757B"/>
    <w:multiLevelType w:val="hybridMultilevel"/>
    <w:tmpl w:val="A4526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7774A6"/>
    <w:multiLevelType w:val="hybridMultilevel"/>
    <w:tmpl w:val="8E2EE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725279"/>
    <w:multiLevelType w:val="hybridMultilevel"/>
    <w:tmpl w:val="88E43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FE3435"/>
    <w:multiLevelType w:val="hybridMultilevel"/>
    <w:tmpl w:val="F392E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434E64"/>
    <w:multiLevelType w:val="hybridMultilevel"/>
    <w:tmpl w:val="16947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EE7DED"/>
    <w:multiLevelType w:val="hybridMultilevel"/>
    <w:tmpl w:val="268E8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8"/>
  </w:num>
  <w:num w:numId="5">
    <w:abstractNumId w:val="4"/>
  </w:num>
  <w:num w:numId="6">
    <w:abstractNumId w:val="2"/>
  </w:num>
  <w:num w:numId="7">
    <w:abstractNumId w:val="6"/>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attachedTemplate r:id="rId1"/>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968"/>
    <w:rsid w:val="000079ED"/>
    <w:rsid w:val="00007D09"/>
    <w:rsid w:val="0001128A"/>
    <w:rsid w:val="000134E3"/>
    <w:rsid w:val="00025F4C"/>
    <w:rsid w:val="00037126"/>
    <w:rsid w:val="00041C27"/>
    <w:rsid w:val="000565C2"/>
    <w:rsid w:val="00061B32"/>
    <w:rsid w:val="000A1C8D"/>
    <w:rsid w:val="000B53E1"/>
    <w:rsid w:val="000C59D8"/>
    <w:rsid w:val="000F2524"/>
    <w:rsid w:val="0010776F"/>
    <w:rsid w:val="00110B00"/>
    <w:rsid w:val="001148CB"/>
    <w:rsid w:val="001443E7"/>
    <w:rsid w:val="00144803"/>
    <w:rsid w:val="00162897"/>
    <w:rsid w:val="00174563"/>
    <w:rsid w:val="001A132D"/>
    <w:rsid w:val="001A74BB"/>
    <w:rsid w:val="001D1FB9"/>
    <w:rsid w:val="00203584"/>
    <w:rsid w:val="00212978"/>
    <w:rsid w:val="00213D6E"/>
    <w:rsid w:val="0022274F"/>
    <w:rsid w:val="00232E69"/>
    <w:rsid w:val="00267ED3"/>
    <w:rsid w:val="002818E8"/>
    <w:rsid w:val="00285355"/>
    <w:rsid w:val="002908BC"/>
    <w:rsid w:val="0029715E"/>
    <w:rsid w:val="002A14BA"/>
    <w:rsid w:val="002B3DD6"/>
    <w:rsid w:val="002B442F"/>
    <w:rsid w:val="002C1C05"/>
    <w:rsid w:val="002C6033"/>
    <w:rsid w:val="002C77B4"/>
    <w:rsid w:val="002D0200"/>
    <w:rsid w:val="002D4F75"/>
    <w:rsid w:val="002E02D9"/>
    <w:rsid w:val="002E6B7A"/>
    <w:rsid w:val="00310393"/>
    <w:rsid w:val="0031162E"/>
    <w:rsid w:val="00326E22"/>
    <w:rsid w:val="003324DD"/>
    <w:rsid w:val="00337114"/>
    <w:rsid w:val="00353833"/>
    <w:rsid w:val="00360B97"/>
    <w:rsid w:val="003845B0"/>
    <w:rsid w:val="00385655"/>
    <w:rsid w:val="00393DF4"/>
    <w:rsid w:val="003A2291"/>
    <w:rsid w:val="003B4366"/>
    <w:rsid w:val="003D3F08"/>
    <w:rsid w:val="003F79D2"/>
    <w:rsid w:val="0041609C"/>
    <w:rsid w:val="00425022"/>
    <w:rsid w:val="00434C93"/>
    <w:rsid w:val="00452A95"/>
    <w:rsid w:val="00455009"/>
    <w:rsid w:val="00464CA0"/>
    <w:rsid w:val="004671FA"/>
    <w:rsid w:val="00471730"/>
    <w:rsid w:val="00492318"/>
    <w:rsid w:val="0049255A"/>
    <w:rsid w:val="00492A0F"/>
    <w:rsid w:val="0049518A"/>
    <w:rsid w:val="004B0B81"/>
    <w:rsid w:val="004B39E5"/>
    <w:rsid w:val="004C12EC"/>
    <w:rsid w:val="004F314A"/>
    <w:rsid w:val="005376F9"/>
    <w:rsid w:val="00555D0F"/>
    <w:rsid w:val="00565388"/>
    <w:rsid w:val="00574704"/>
    <w:rsid w:val="005819E0"/>
    <w:rsid w:val="0058480B"/>
    <w:rsid w:val="00586B84"/>
    <w:rsid w:val="005B0B43"/>
    <w:rsid w:val="005B2103"/>
    <w:rsid w:val="005B3680"/>
    <w:rsid w:val="005D6774"/>
    <w:rsid w:val="005E1796"/>
    <w:rsid w:val="006771CA"/>
    <w:rsid w:val="0069132B"/>
    <w:rsid w:val="006A27B7"/>
    <w:rsid w:val="006C2C13"/>
    <w:rsid w:val="006C3100"/>
    <w:rsid w:val="006C4515"/>
    <w:rsid w:val="006C4D08"/>
    <w:rsid w:val="006D7ED4"/>
    <w:rsid w:val="006E1CDA"/>
    <w:rsid w:val="006E5DF3"/>
    <w:rsid w:val="007044BC"/>
    <w:rsid w:val="00715374"/>
    <w:rsid w:val="0072068C"/>
    <w:rsid w:val="00724651"/>
    <w:rsid w:val="00732FE9"/>
    <w:rsid w:val="007411C9"/>
    <w:rsid w:val="00743F4A"/>
    <w:rsid w:val="00746975"/>
    <w:rsid w:val="007509C0"/>
    <w:rsid w:val="00752BC2"/>
    <w:rsid w:val="007A756D"/>
    <w:rsid w:val="007D5DB8"/>
    <w:rsid w:val="007D6843"/>
    <w:rsid w:val="00834198"/>
    <w:rsid w:val="00836147"/>
    <w:rsid w:val="008414D5"/>
    <w:rsid w:val="00855856"/>
    <w:rsid w:val="00866368"/>
    <w:rsid w:val="00872268"/>
    <w:rsid w:val="00873CB6"/>
    <w:rsid w:val="0088170D"/>
    <w:rsid w:val="00882F93"/>
    <w:rsid w:val="00897114"/>
    <w:rsid w:val="008C13E3"/>
    <w:rsid w:val="008D09F0"/>
    <w:rsid w:val="008E4CE3"/>
    <w:rsid w:val="008E5B85"/>
    <w:rsid w:val="008F0ED8"/>
    <w:rsid w:val="008F0F1C"/>
    <w:rsid w:val="0090033A"/>
    <w:rsid w:val="009016E3"/>
    <w:rsid w:val="009047D5"/>
    <w:rsid w:val="0091240E"/>
    <w:rsid w:val="009137E5"/>
    <w:rsid w:val="00917371"/>
    <w:rsid w:val="00920A58"/>
    <w:rsid w:val="00930823"/>
    <w:rsid w:val="009464EE"/>
    <w:rsid w:val="00960E69"/>
    <w:rsid w:val="009626E7"/>
    <w:rsid w:val="009A7E9D"/>
    <w:rsid w:val="009F3CE9"/>
    <w:rsid w:val="009F65F3"/>
    <w:rsid w:val="00A02807"/>
    <w:rsid w:val="00A15A18"/>
    <w:rsid w:val="00A214AE"/>
    <w:rsid w:val="00A31BBB"/>
    <w:rsid w:val="00A336EB"/>
    <w:rsid w:val="00A54F61"/>
    <w:rsid w:val="00A85611"/>
    <w:rsid w:val="00A8670B"/>
    <w:rsid w:val="00A90297"/>
    <w:rsid w:val="00A94E7A"/>
    <w:rsid w:val="00AB198E"/>
    <w:rsid w:val="00AB4952"/>
    <w:rsid w:val="00AE00FE"/>
    <w:rsid w:val="00AE35AA"/>
    <w:rsid w:val="00AF670D"/>
    <w:rsid w:val="00B30B99"/>
    <w:rsid w:val="00B3754A"/>
    <w:rsid w:val="00B43123"/>
    <w:rsid w:val="00B43E09"/>
    <w:rsid w:val="00B615CF"/>
    <w:rsid w:val="00B87B78"/>
    <w:rsid w:val="00BA00EE"/>
    <w:rsid w:val="00BA3DF6"/>
    <w:rsid w:val="00BA3FCA"/>
    <w:rsid w:val="00BA4D74"/>
    <w:rsid w:val="00BE32CB"/>
    <w:rsid w:val="00C3529E"/>
    <w:rsid w:val="00C36E10"/>
    <w:rsid w:val="00C86D94"/>
    <w:rsid w:val="00CA04FE"/>
    <w:rsid w:val="00CA5CF1"/>
    <w:rsid w:val="00CD63EF"/>
    <w:rsid w:val="00CE245A"/>
    <w:rsid w:val="00CE3968"/>
    <w:rsid w:val="00CF6212"/>
    <w:rsid w:val="00D03036"/>
    <w:rsid w:val="00D11700"/>
    <w:rsid w:val="00D11943"/>
    <w:rsid w:val="00D33395"/>
    <w:rsid w:val="00D40B02"/>
    <w:rsid w:val="00D80E06"/>
    <w:rsid w:val="00DA0438"/>
    <w:rsid w:val="00E03C6A"/>
    <w:rsid w:val="00E31200"/>
    <w:rsid w:val="00E37FE5"/>
    <w:rsid w:val="00E55F59"/>
    <w:rsid w:val="00E65ADD"/>
    <w:rsid w:val="00E65DCC"/>
    <w:rsid w:val="00E72830"/>
    <w:rsid w:val="00E85467"/>
    <w:rsid w:val="00EA0C5B"/>
    <w:rsid w:val="00ED1D7C"/>
    <w:rsid w:val="00ED618C"/>
    <w:rsid w:val="00ED706E"/>
    <w:rsid w:val="00EF215A"/>
    <w:rsid w:val="00EF2AC3"/>
    <w:rsid w:val="00F01488"/>
    <w:rsid w:val="00F11610"/>
    <w:rsid w:val="00F21379"/>
    <w:rsid w:val="00F3656D"/>
    <w:rsid w:val="00F506F5"/>
    <w:rsid w:val="00F66215"/>
    <w:rsid w:val="00F73651"/>
    <w:rsid w:val="00F960B1"/>
    <w:rsid w:val="00FC26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3D09A31"/>
  <w14:defaultImageDpi w14:val="300"/>
  <w15:docId w15:val="{BCAAA82C-40FE-4079-8332-2FE37A899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E3968"/>
    <w:rPr>
      <w:rFonts w:ascii="Times New Roman" w:eastAsia="Times New Roman" w:hAnsi="Times New Roman" w:cs="Times New Roman"/>
    </w:rPr>
  </w:style>
  <w:style w:type="paragraph" w:styleId="Heading1">
    <w:name w:val="heading 1"/>
    <w:basedOn w:val="Normal"/>
    <w:next w:val="Normal"/>
    <w:link w:val="Heading1Char"/>
    <w:uiPriority w:val="9"/>
    <w:rsid w:val="00CE396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Accela - Heading 2"/>
    <w:next w:val="Normal"/>
    <w:link w:val="Heading2Char"/>
    <w:uiPriority w:val="9"/>
    <w:unhideWhenUsed/>
    <w:qFormat/>
    <w:rsid w:val="00960E69"/>
    <w:pPr>
      <w:keepNext/>
      <w:keepLines/>
      <w:spacing w:after="240" w:line="400" w:lineRule="exact"/>
      <w:outlineLvl w:val="1"/>
    </w:pPr>
    <w:rPr>
      <w:rFonts w:ascii="Interstate Regular" w:eastAsiaTheme="majorEastAsia" w:hAnsi="Interstate Regular" w:cstheme="majorBidi"/>
      <w:color w:val="79B0EA"/>
      <w:szCs w:val="32"/>
    </w:rPr>
  </w:style>
  <w:style w:type="paragraph" w:styleId="Heading3">
    <w:name w:val="heading 3"/>
    <w:aliases w:val="Accela - Subhead Bold"/>
    <w:next w:val="Accela-Maintext"/>
    <w:link w:val="Heading3Char"/>
    <w:uiPriority w:val="9"/>
    <w:unhideWhenUsed/>
    <w:qFormat/>
    <w:rsid w:val="00285355"/>
    <w:pPr>
      <w:keepNext/>
      <w:keepLines/>
      <w:spacing w:before="200" w:after="60" w:line="260" w:lineRule="exact"/>
      <w:outlineLvl w:val="2"/>
    </w:pPr>
    <w:rPr>
      <w:rFonts w:ascii="Interstate Bold" w:eastAsiaTheme="majorEastAsia" w:hAnsi="Interstate Bold" w:cstheme="majorBidi"/>
      <w:bCs/>
      <w:sz w:val="20"/>
      <w:szCs w:val="22"/>
    </w:rPr>
  </w:style>
  <w:style w:type="paragraph" w:styleId="Heading4">
    <w:name w:val="heading 4"/>
    <w:basedOn w:val="Normal"/>
    <w:next w:val="Normal"/>
    <w:link w:val="Heading4Char"/>
    <w:uiPriority w:val="9"/>
    <w:unhideWhenUsed/>
    <w:rsid w:val="003D3F0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B02"/>
    <w:pPr>
      <w:tabs>
        <w:tab w:val="center" w:pos="4320"/>
        <w:tab w:val="right" w:pos="8640"/>
      </w:tabs>
    </w:pPr>
  </w:style>
  <w:style w:type="character" w:customStyle="1" w:styleId="HeaderChar">
    <w:name w:val="Header Char"/>
    <w:basedOn w:val="DefaultParagraphFont"/>
    <w:link w:val="Header"/>
    <w:uiPriority w:val="99"/>
    <w:rsid w:val="00D40B02"/>
  </w:style>
  <w:style w:type="paragraph" w:styleId="Footer">
    <w:name w:val="footer"/>
    <w:basedOn w:val="Normal"/>
    <w:link w:val="FooterChar"/>
    <w:uiPriority w:val="99"/>
    <w:unhideWhenUsed/>
    <w:rsid w:val="00D40B02"/>
    <w:pPr>
      <w:tabs>
        <w:tab w:val="center" w:pos="4320"/>
        <w:tab w:val="right" w:pos="8640"/>
      </w:tabs>
    </w:pPr>
  </w:style>
  <w:style w:type="character" w:customStyle="1" w:styleId="FooterChar">
    <w:name w:val="Footer Char"/>
    <w:basedOn w:val="DefaultParagraphFont"/>
    <w:link w:val="Footer"/>
    <w:uiPriority w:val="99"/>
    <w:rsid w:val="00D40B02"/>
  </w:style>
  <w:style w:type="paragraph" w:styleId="BalloonText">
    <w:name w:val="Balloon Text"/>
    <w:basedOn w:val="Normal"/>
    <w:link w:val="BalloonTextChar"/>
    <w:uiPriority w:val="99"/>
    <w:semiHidden/>
    <w:unhideWhenUsed/>
    <w:rsid w:val="00D40B02"/>
    <w:rPr>
      <w:rFonts w:ascii="Lucida Grande" w:hAnsi="Lucida Grande"/>
      <w:sz w:val="18"/>
      <w:szCs w:val="18"/>
    </w:rPr>
  </w:style>
  <w:style w:type="character" w:customStyle="1" w:styleId="BalloonTextChar">
    <w:name w:val="Balloon Text Char"/>
    <w:basedOn w:val="DefaultParagraphFont"/>
    <w:link w:val="BalloonText"/>
    <w:uiPriority w:val="99"/>
    <w:semiHidden/>
    <w:rsid w:val="00D40B02"/>
    <w:rPr>
      <w:rFonts w:ascii="Lucida Grande" w:hAnsi="Lucida Grande"/>
      <w:sz w:val="18"/>
      <w:szCs w:val="18"/>
    </w:rPr>
  </w:style>
  <w:style w:type="paragraph" w:styleId="Title">
    <w:name w:val="Title"/>
    <w:aliases w:val="Accela - TITLE"/>
    <w:next w:val="Normal"/>
    <w:link w:val="TitleChar"/>
    <w:uiPriority w:val="10"/>
    <w:qFormat/>
    <w:rsid w:val="00960E69"/>
    <w:pPr>
      <w:spacing w:after="120" w:line="400" w:lineRule="exact"/>
      <w:ind w:left="-86"/>
      <w:contextualSpacing/>
    </w:pPr>
    <w:rPr>
      <w:rFonts w:ascii="Interstate Bold" w:eastAsiaTheme="majorEastAsia" w:hAnsi="Interstate Bold" w:cstheme="majorBidi"/>
      <w:color w:val="002C76"/>
      <w:spacing w:val="-6"/>
      <w:kern w:val="40"/>
      <w:sz w:val="28"/>
      <w:szCs w:val="40"/>
    </w:rPr>
  </w:style>
  <w:style w:type="character" w:customStyle="1" w:styleId="TitleChar">
    <w:name w:val="Title Char"/>
    <w:aliases w:val="Accela - TITLE Char"/>
    <w:basedOn w:val="DefaultParagraphFont"/>
    <w:link w:val="Title"/>
    <w:uiPriority w:val="10"/>
    <w:rsid w:val="00960E69"/>
    <w:rPr>
      <w:rFonts w:ascii="Interstate Bold" w:eastAsiaTheme="majorEastAsia" w:hAnsi="Interstate Bold" w:cstheme="majorBidi"/>
      <w:color w:val="002C76"/>
      <w:spacing w:val="-6"/>
      <w:kern w:val="40"/>
      <w:sz w:val="28"/>
      <w:szCs w:val="40"/>
    </w:rPr>
  </w:style>
  <w:style w:type="character" w:customStyle="1" w:styleId="Heading2Char">
    <w:name w:val="Heading 2 Char"/>
    <w:aliases w:val="Accela - Heading 2 Char"/>
    <w:basedOn w:val="DefaultParagraphFont"/>
    <w:link w:val="Heading2"/>
    <w:uiPriority w:val="9"/>
    <w:rsid w:val="00960E69"/>
    <w:rPr>
      <w:rFonts w:ascii="Interstate Regular" w:eastAsiaTheme="majorEastAsia" w:hAnsi="Interstate Regular" w:cstheme="majorBidi"/>
      <w:color w:val="79B0EA"/>
      <w:szCs w:val="32"/>
    </w:rPr>
  </w:style>
  <w:style w:type="paragraph" w:styleId="NormalWeb">
    <w:name w:val="Normal (Web)"/>
    <w:basedOn w:val="Normal"/>
    <w:uiPriority w:val="99"/>
    <w:semiHidden/>
    <w:unhideWhenUsed/>
    <w:rsid w:val="000565C2"/>
    <w:pPr>
      <w:spacing w:before="100" w:beforeAutospacing="1" w:after="100" w:afterAutospacing="1"/>
    </w:pPr>
    <w:rPr>
      <w:rFonts w:ascii="Times" w:hAnsi="Times"/>
      <w:sz w:val="20"/>
      <w:szCs w:val="20"/>
    </w:rPr>
  </w:style>
  <w:style w:type="character" w:customStyle="1" w:styleId="Heading3Char">
    <w:name w:val="Heading 3 Char"/>
    <w:aliases w:val="Accela - Subhead Bold Char"/>
    <w:basedOn w:val="DefaultParagraphFont"/>
    <w:link w:val="Heading3"/>
    <w:uiPriority w:val="9"/>
    <w:rsid w:val="00285355"/>
    <w:rPr>
      <w:rFonts w:ascii="Interstate Bold" w:eastAsiaTheme="majorEastAsia" w:hAnsi="Interstate Bold" w:cstheme="majorBidi"/>
      <w:bCs/>
      <w:sz w:val="20"/>
      <w:szCs w:val="22"/>
    </w:rPr>
  </w:style>
  <w:style w:type="paragraph" w:customStyle="1" w:styleId="Accela-Maintext">
    <w:name w:val="Accela - Main text"/>
    <w:qFormat/>
    <w:rsid w:val="00960E69"/>
    <w:pPr>
      <w:spacing w:after="160" w:line="260" w:lineRule="exact"/>
    </w:pPr>
    <w:rPr>
      <w:rFonts w:ascii="Interstate Light" w:hAnsi="Interstate Light"/>
      <w:sz w:val="18"/>
    </w:rPr>
  </w:style>
  <w:style w:type="character" w:styleId="Hyperlink">
    <w:name w:val="Hyperlink"/>
    <w:uiPriority w:val="99"/>
    <w:rsid w:val="005819E0"/>
    <w:rPr>
      <w:color w:val="0000FF"/>
      <w:u w:val="single"/>
    </w:rPr>
  </w:style>
  <w:style w:type="paragraph" w:customStyle="1" w:styleId="Coversheettitle">
    <w:name w:val="Cover sheet title"/>
    <w:rsid w:val="00565388"/>
    <w:pPr>
      <w:spacing w:line="840" w:lineRule="exact"/>
      <w:jc w:val="center"/>
    </w:pPr>
    <w:rPr>
      <w:rFonts w:ascii="Brandon Grotesque Bold" w:hAnsi="Brandon Grotesque Bold"/>
      <w:caps/>
      <w:color w:val="FFFFFF" w:themeColor="background1"/>
      <w:spacing w:val="-10"/>
      <w:kern w:val="56"/>
      <w:sz w:val="72"/>
      <w:szCs w:val="72"/>
      <w14:ligatures w14:val="standard"/>
    </w:rPr>
  </w:style>
  <w:style w:type="paragraph" w:customStyle="1" w:styleId="Coversheetsubtitle">
    <w:name w:val="Cover sheet subtitle"/>
    <w:rsid w:val="00565388"/>
    <w:pPr>
      <w:spacing w:line="560" w:lineRule="exact"/>
    </w:pPr>
    <w:rPr>
      <w:rFonts w:ascii="Brandon Grotesque Medium" w:hAnsi="Brandon Grotesque Medium"/>
      <w:caps/>
      <w:color w:val="0083C3"/>
      <w:sz w:val="48"/>
      <w:szCs w:val="48"/>
    </w:rPr>
  </w:style>
  <w:style w:type="character" w:customStyle="1" w:styleId="Heading4Char">
    <w:name w:val="Heading 4 Char"/>
    <w:basedOn w:val="DefaultParagraphFont"/>
    <w:link w:val="Heading4"/>
    <w:uiPriority w:val="9"/>
    <w:rsid w:val="003D3F08"/>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CE3968"/>
    <w:rPr>
      <w:rFonts w:asciiTheme="majorHAnsi" w:eastAsiaTheme="majorEastAsia" w:hAnsiTheme="majorHAnsi" w:cstheme="majorBidi"/>
      <w:color w:val="365F91" w:themeColor="accent1" w:themeShade="BF"/>
      <w:sz w:val="32"/>
      <w:szCs w:val="32"/>
    </w:rPr>
  </w:style>
  <w:style w:type="paragraph" w:styleId="BodyText">
    <w:name w:val="Body Text"/>
    <w:basedOn w:val="Normal"/>
    <w:link w:val="BodyTextChar1"/>
    <w:rsid w:val="00CE3968"/>
    <w:pPr>
      <w:tabs>
        <w:tab w:val="left" w:pos="0"/>
      </w:tabs>
    </w:pPr>
    <w:rPr>
      <w:rFonts w:ascii="Arial Narrow" w:hAnsi="Arial Narrow" w:cs="Arial"/>
      <w:color w:val="4D4D4D"/>
      <w:sz w:val="22"/>
    </w:rPr>
  </w:style>
  <w:style w:type="character" w:customStyle="1" w:styleId="BodyTextChar">
    <w:name w:val="Body Text Char"/>
    <w:basedOn w:val="DefaultParagraphFont"/>
    <w:uiPriority w:val="99"/>
    <w:semiHidden/>
    <w:rsid w:val="00CE3968"/>
    <w:rPr>
      <w:rFonts w:ascii="Times New Roman" w:eastAsia="Times New Roman" w:hAnsi="Times New Roman" w:cs="Times New Roman"/>
    </w:rPr>
  </w:style>
  <w:style w:type="paragraph" w:customStyle="1" w:styleId="TableText">
    <w:name w:val="Table Text"/>
    <w:basedOn w:val="Normal"/>
    <w:rsid w:val="00CE3968"/>
    <w:pPr>
      <w:spacing w:before="40" w:after="40"/>
    </w:pPr>
    <w:rPr>
      <w:rFonts w:ascii="Arial" w:hAnsi="Arial"/>
      <w:sz w:val="20"/>
      <w:szCs w:val="20"/>
    </w:rPr>
  </w:style>
  <w:style w:type="paragraph" w:styleId="TOC1">
    <w:name w:val="toc 1"/>
    <w:basedOn w:val="Normal"/>
    <w:next w:val="Normal"/>
    <w:autoRedefine/>
    <w:uiPriority w:val="39"/>
    <w:rsid w:val="00CE3968"/>
    <w:pPr>
      <w:tabs>
        <w:tab w:val="right" w:leader="dot" w:pos="9810"/>
      </w:tabs>
      <w:spacing w:before="360" w:after="360"/>
    </w:pPr>
    <w:rPr>
      <w:rFonts w:ascii="Arial Narrow" w:hAnsi="Arial Narrow"/>
      <w:b/>
      <w:bCs/>
      <w:caps/>
      <w:noProof/>
      <w:color w:val="808080"/>
      <w:sz w:val="20"/>
      <w:szCs w:val="26"/>
      <w:u w:val="single"/>
    </w:rPr>
  </w:style>
  <w:style w:type="paragraph" w:styleId="TOC2">
    <w:name w:val="toc 2"/>
    <w:basedOn w:val="Normal"/>
    <w:next w:val="Normal"/>
    <w:autoRedefine/>
    <w:uiPriority w:val="39"/>
    <w:rsid w:val="00CE3968"/>
    <w:rPr>
      <w:rFonts w:ascii="Arial Narrow" w:hAnsi="Arial Narrow"/>
      <w:b/>
      <w:bCs/>
      <w:smallCaps/>
      <w:color w:val="333333"/>
      <w:sz w:val="20"/>
      <w:szCs w:val="26"/>
    </w:rPr>
  </w:style>
  <w:style w:type="paragraph" w:customStyle="1" w:styleId="TableHeading">
    <w:name w:val="Table Heading"/>
    <w:basedOn w:val="TableText"/>
    <w:rsid w:val="00CE3968"/>
    <w:pPr>
      <w:keepLines/>
      <w:widowControl w:val="0"/>
      <w:overflowPunct w:val="0"/>
      <w:autoSpaceDE w:val="0"/>
      <w:autoSpaceDN w:val="0"/>
      <w:adjustRightInd w:val="0"/>
      <w:spacing w:before="120" w:after="120"/>
      <w:ind w:left="144"/>
      <w:textAlignment w:val="baseline"/>
    </w:pPr>
    <w:rPr>
      <w:rFonts w:ascii="Times New Roman" w:hAnsi="Times New Roman"/>
    </w:rPr>
  </w:style>
  <w:style w:type="character" w:customStyle="1" w:styleId="BodyTextChar1">
    <w:name w:val="Body Text Char1"/>
    <w:link w:val="BodyText"/>
    <w:rsid w:val="00CE3968"/>
    <w:rPr>
      <w:rFonts w:ascii="Arial Narrow" w:eastAsia="Times New Roman" w:hAnsi="Arial Narrow" w:cs="Arial"/>
      <w:color w:val="4D4D4D"/>
      <w:sz w:val="22"/>
    </w:rPr>
  </w:style>
  <w:style w:type="paragraph" w:styleId="ListParagraph">
    <w:name w:val="List Paragraph"/>
    <w:basedOn w:val="Normal"/>
    <w:uiPriority w:val="34"/>
    <w:qFormat/>
    <w:rsid w:val="00CE3968"/>
    <w:pPr>
      <w:ind w:left="720"/>
      <w:contextualSpacing/>
    </w:pPr>
  </w:style>
  <w:style w:type="table" w:styleId="TableGrid">
    <w:name w:val="Table Grid"/>
    <w:basedOn w:val="TableNormal"/>
    <w:uiPriority w:val="59"/>
    <w:rsid w:val="00586B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353833"/>
    <w:rPr>
      <w:rFonts w:ascii="Times New Roman" w:eastAsia="Times New Roman" w:hAnsi="Times New Roman" w:cs="Times New Roman"/>
    </w:rPr>
  </w:style>
  <w:style w:type="table" w:styleId="PlainTable2">
    <w:name w:val="Plain Table 2"/>
    <w:basedOn w:val="TableNormal"/>
    <w:uiPriority w:val="99"/>
    <w:rsid w:val="008E4CE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99"/>
    <w:rsid w:val="008E4CE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3-Accent1">
    <w:name w:val="List Table 3 Accent 1"/>
    <w:basedOn w:val="TableNormal"/>
    <w:uiPriority w:val="48"/>
    <w:rsid w:val="00F01488"/>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195054">
      <w:bodyDiv w:val="1"/>
      <w:marLeft w:val="0"/>
      <w:marRight w:val="0"/>
      <w:marTop w:val="0"/>
      <w:marBottom w:val="0"/>
      <w:divBdr>
        <w:top w:val="none" w:sz="0" w:space="0" w:color="auto"/>
        <w:left w:val="none" w:sz="0" w:space="0" w:color="auto"/>
        <w:bottom w:val="none" w:sz="0" w:space="0" w:color="auto"/>
        <w:right w:val="none" w:sz="0" w:space="0" w:color="auto"/>
      </w:divBdr>
    </w:div>
    <w:div w:id="469591973">
      <w:bodyDiv w:val="1"/>
      <w:marLeft w:val="0"/>
      <w:marRight w:val="0"/>
      <w:marTop w:val="0"/>
      <w:marBottom w:val="0"/>
      <w:divBdr>
        <w:top w:val="none" w:sz="0" w:space="0" w:color="auto"/>
        <w:left w:val="none" w:sz="0" w:space="0" w:color="auto"/>
        <w:bottom w:val="none" w:sz="0" w:space="0" w:color="auto"/>
        <w:right w:val="none" w:sz="0" w:space="0" w:color="auto"/>
      </w:divBdr>
    </w:div>
    <w:div w:id="628166901">
      <w:bodyDiv w:val="1"/>
      <w:marLeft w:val="0"/>
      <w:marRight w:val="0"/>
      <w:marTop w:val="0"/>
      <w:marBottom w:val="0"/>
      <w:divBdr>
        <w:top w:val="none" w:sz="0" w:space="0" w:color="auto"/>
        <w:left w:val="none" w:sz="0" w:space="0" w:color="auto"/>
        <w:bottom w:val="none" w:sz="0" w:space="0" w:color="auto"/>
        <w:right w:val="none" w:sz="0" w:space="0" w:color="auto"/>
      </w:divBdr>
    </w:div>
    <w:div w:id="713190968">
      <w:bodyDiv w:val="1"/>
      <w:marLeft w:val="0"/>
      <w:marRight w:val="0"/>
      <w:marTop w:val="0"/>
      <w:marBottom w:val="0"/>
      <w:divBdr>
        <w:top w:val="none" w:sz="0" w:space="0" w:color="auto"/>
        <w:left w:val="none" w:sz="0" w:space="0" w:color="auto"/>
        <w:bottom w:val="none" w:sz="0" w:space="0" w:color="auto"/>
        <w:right w:val="none" w:sz="0" w:space="0" w:color="auto"/>
      </w:divBdr>
    </w:div>
    <w:div w:id="752629554">
      <w:bodyDiv w:val="1"/>
      <w:marLeft w:val="0"/>
      <w:marRight w:val="0"/>
      <w:marTop w:val="0"/>
      <w:marBottom w:val="0"/>
      <w:divBdr>
        <w:top w:val="none" w:sz="0" w:space="0" w:color="auto"/>
        <w:left w:val="none" w:sz="0" w:space="0" w:color="auto"/>
        <w:bottom w:val="none" w:sz="0" w:space="0" w:color="auto"/>
        <w:right w:val="none" w:sz="0" w:space="0" w:color="auto"/>
      </w:divBdr>
    </w:div>
    <w:div w:id="765732486">
      <w:bodyDiv w:val="1"/>
      <w:marLeft w:val="0"/>
      <w:marRight w:val="0"/>
      <w:marTop w:val="0"/>
      <w:marBottom w:val="0"/>
      <w:divBdr>
        <w:top w:val="none" w:sz="0" w:space="0" w:color="auto"/>
        <w:left w:val="none" w:sz="0" w:space="0" w:color="auto"/>
        <w:bottom w:val="none" w:sz="0" w:space="0" w:color="auto"/>
        <w:right w:val="none" w:sz="0" w:space="0" w:color="auto"/>
      </w:divBdr>
    </w:div>
    <w:div w:id="941379220">
      <w:bodyDiv w:val="1"/>
      <w:marLeft w:val="0"/>
      <w:marRight w:val="0"/>
      <w:marTop w:val="0"/>
      <w:marBottom w:val="0"/>
      <w:divBdr>
        <w:top w:val="none" w:sz="0" w:space="0" w:color="auto"/>
        <w:left w:val="none" w:sz="0" w:space="0" w:color="auto"/>
        <w:bottom w:val="none" w:sz="0" w:space="0" w:color="auto"/>
        <w:right w:val="none" w:sz="0" w:space="0" w:color="auto"/>
      </w:divBdr>
    </w:div>
    <w:div w:id="1003825896">
      <w:bodyDiv w:val="1"/>
      <w:marLeft w:val="0"/>
      <w:marRight w:val="0"/>
      <w:marTop w:val="0"/>
      <w:marBottom w:val="0"/>
      <w:divBdr>
        <w:top w:val="none" w:sz="0" w:space="0" w:color="auto"/>
        <w:left w:val="none" w:sz="0" w:space="0" w:color="auto"/>
        <w:bottom w:val="none" w:sz="0" w:space="0" w:color="auto"/>
        <w:right w:val="none" w:sz="0" w:space="0" w:color="auto"/>
      </w:divBdr>
    </w:div>
    <w:div w:id="1036663528">
      <w:bodyDiv w:val="1"/>
      <w:marLeft w:val="0"/>
      <w:marRight w:val="0"/>
      <w:marTop w:val="0"/>
      <w:marBottom w:val="0"/>
      <w:divBdr>
        <w:top w:val="none" w:sz="0" w:space="0" w:color="auto"/>
        <w:left w:val="none" w:sz="0" w:space="0" w:color="auto"/>
        <w:bottom w:val="none" w:sz="0" w:space="0" w:color="auto"/>
        <w:right w:val="none" w:sz="0" w:space="0" w:color="auto"/>
      </w:divBdr>
    </w:div>
    <w:div w:id="1176044397">
      <w:bodyDiv w:val="1"/>
      <w:marLeft w:val="0"/>
      <w:marRight w:val="0"/>
      <w:marTop w:val="0"/>
      <w:marBottom w:val="0"/>
      <w:divBdr>
        <w:top w:val="none" w:sz="0" w:space="0" w:color="auto"/>
        <w:left w:val="none" w:sz="0" w:space="0" w:color="auto"/>
        <w:bottom w:val="none" w:sz="0" w:space="0" w:color="auto"/>
        <w:right w:val="none" w:sz="0" w:space="0" w:color="auto"/>
      </w:divBdr>
    </w:div>
    <w:div w:id="1284456161">
      <w:bodyDiv w:val="1"/>
      <w:marLeft w:val="0"/>
      <w:marRight w:val="0"/>
      <w:marTop w:val="0"/>
      <w:marBottom w:val="0"/>
      <w:divBdr>
        <w:top w:val="none" w:sz="0" w:space="0" w:color="auto"/>
        <w:left w:val="none" w:sz="0" w:space="0" w:color="auto"/>
        <w:bottom w:val="none" w:sz="0" w:space="0" w:color="auto"/>
        <w:right w:val="none" w:sz="0" w:space="0" w:color="auto"/>
      </w:divBdr>
    </w:div>
    <w:div w:id="16535606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cid:image002.png@01D23361.C849F4E0"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cid:image005.png@01D23361.83AEA1F0"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accela.com/" TargetMode="External"/><Relationship Id="rId1" Type="http://schemas.openxmlformats.org/officeDocument/2006/relationships/hyperlink" Target="http://www.accela.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schomp\Documents\Custom%20Office%20Templates\Corporat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7AEF84007D894CA1588919A11FE217" ma:contentTypeVersion="2" ma:contentTypeDescription="Create a new document." ma:contentTypeScope="" ma:versionID="9e1b9b6693aa682882b84eb9850a334b">
  <xsd:schema xmlns:xsd="http://www.w3.org/2001/XMLSchema" xmlns:xs="http://www.w3.org/2001/XMLSchema" xmlns:p="http://schemas.microsoft.com/office/2006/metadata/properties" xmlns:ns2="d65c268e-bf8e-40bb-a8f4-b3cc15f23ca1" targetNamespace="http://schemas.microsoft.com/office/2006/metadata/properties" ma:root="true" ma:fieldsID="58f7ab52254afc92276ac01e52265a29" ns2:_="">
    <xsd:import namespace="d65c268e-bf8e-40bb-a8f4-b3cc15f23ca1"/>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5c268e-bf8e-40bb-a8f4-b3cc15f23ca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831C9A-FC6E-4E54-ADC5-64177F865A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5c268e-bf8e-40bb-a8f4-b3cc15f23c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0F7A1B-C662-4D1F-9B00-457E747A651C}">
  <ds:schemaRefs>
    <ds:schemaRef ds:uri="http://schemas.microsoft.com/sharepoint/v3/contenttype/forms"/>
  </ds:schemaRefs>
</ds:datastoreItem>
</file>

<file path=customXml/itemProps3.xml><?xml version="1.0" encoding="utf-8"?>
<ds:datastoreItem xmlns:ds="http://schemas.openxmlformats.org/officeDocument/2006/customXml" ds:itemID="{9087C3A2-84D6-4954-B4FE-06518A80711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D10D5EB-0BC2-412B-B417-D709D7808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Corporate Template.dotx</Template>
  <TotalTime>0</TotalTime>
  <Pages>7</Pages>
  <Words>1113</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Schomp</dc:creator>
  <cp:keywords/>
  <dc:description/>
  <cp:lastModifiedBy>John Schomp</cp:lastModifiedBy>
  <cp:revision>2</cp:revision>
  <cp:lastPrinted>2016-09-20T05:38:00Z</cp:lastPrinted>
  <dcterms:created xsi:type="dcterms:W3CDTF">2016-10-31T22:29:00Z</dcterms:created>
  <dcterms:modified xsi:type="dcterms:W3CDTF">2016-10-31T22:29:00Z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0x010100477AEF84007D894CA1588919A11FE217</vt:lpwstr>
  </property>
  <property fmtid="{D5CDD505-2E9C-101B-9397-08002B2CF9AE}" pid="3" name="_dlc_DocIdItemGuid">
    <vt:lpwstr>0fdde5d3-f3b3-4484-baa3-8ca616822cf7</vt:lpwstr>
  </property>
</Properties>
</file>