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/>
        <w:t>Phase 0 Pilot Protocol Quantifying the Influence Inflection Point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 0 Pilot Protocol (v1.0 — for review)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Parent charter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Project Knowledge Base v3.1.2 (§7.2, §8.1)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Companion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OSF Preregistration draft v1.0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Adam W. Freeman, Dakota State University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Produce the empirical inputs required to lock the OSF preregistration: validate the synthetic-entity gate, estimate variance for the power analysis, calibrate the dose ladder, and confirm pipeline feasibility.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DRAFT. The pilot is exploratory and informs the design; pilot data are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part of the confirmatory dataset (preregistration §3.1).</w:t>
            </w:r>
          </w:p>
        </w:tc>
      </w:tr>
    </w:tbl>
    <w:p>
      <w:pPr>
        <w:pStyle w:val="BlockText"/>
        <w:rPr/>
      </w:pPr>
      <w:r>
        <w:rPr>
          <w:b/>
          <w:bCs/>
        </w:rPr>
        <w:t>Role of this document.</w:t>
      </w:r>
      <w:r>
        <w:rPr/>
        <w:t xml:space="preserve"> The preregistration carries four items marked open-before-lock. The pilot is the instrument that closes three of them empirically (dose floor, entity count, subject-model sizes); the fourth (IV6 lock) is a design decision made separately. Each objective below states the decision rule that maps a pilot output to a preregistration lock.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0" w:name="X66e41ff062220a430c770418878d62e47e44b67"/>
      <w:r>
        <w:rPr/>
        <w:t>1. Objectives and Decision Rules</w:t>
      </w:r>
    </w:p>
    <w:p>
      <w:pPr>
        <w:pStyle w:val="FirstParagraph"/>
        <w:rPr/>
      </w:pPr>
      <w:r>
        <w:rPr/>
        <w:t>The pilot has four objectives. Objectives O1–O3 each terminate in an explicit rule that resolves a preregistration open item.</w:t>
      </w:r>
    </w:p>
    <w:p>
      <w:pPr>
        <w:pStyle w:val="Heading2"/>
        <w:rPr/>
      </w:pPr>
      <w:bookmarkStart w:id="1" w:name="Xff2f1ae81b82b9c114aeccc400f922f7b3c0508"/>
      <w:r>
        <w:rPr/>
        <w:t>O1 — Validate the synthetic-entity zero-presence gate</w:t>
      </w:r>
    </w:p>
    <w:p>
      <w:pPr>
        <w:pStyle w:val="FirstParagraph"/>
        <w:rPr/>
      </w:pPr>
      <w:r>
        <w:rPr>
          <w:b/>
          <w:bCs/>
        </w:rPr>
        <w:t>Action.</w:t>
      </w:r>
      <w:r>
        <w:rPr/>
        <w:t xml:space="preserve"> Construct the pilot synthetic entities (§3.1) and run </w:t>
      </w:r>
      <w:r>
        <w:rPr>
          <w:rStyle w:val="VerbatimChar"/>
        </w:rPr>
        <w:t>corpus_presence_tracker.py</w:t>
      </w:r>
      <w:r>
        <w:rPr/>
        <w:t xml:space="preserve"> against each to confirm zero pre-existing presence: zero web hits (Google, Bing, Brave) and zero exact-match corpus presence via infini-gram across the Pile, Dolma, RedPajama, C4, and recent Common Crawl snapshots [1], [2]. Simultaneously record per-entity </w:t>
      </w:r>
      <w:r>
        <w:rPr>
          <w:b/>
          <w:bCs/>
        </w:rPr>
        <w:t>baseline counts</w:t>
      </w:r>
      <w:r>
        <w:rPr/>
        <w:t xml:space="preserve"> for a set of real reference-class entities (e.g., a real aerospace firm matched to the synthetic aerospace entity) to characterize the live corpus baseline the synthetic entities are measured against.</w:t>
      </w:r>
    </w:p>
    <w:p>
      <w:pPr>
        <w:pStyle w:val="BodyText"/>
        <w:rPr/>
      </w:pPr>
      <w:r>
        <w:rPr>
          <w:b/>
          <w:bCs/>
        </w:rPr>
        <w:t>Decision rule (gate, not a registered item).</w:t>
      </w:r>
      <w:r>
        <w:rPr/>
        <w:t xml:space="preserve"> Any pilot entity returning a non-zero web or corpus hit is replaced before use. The gate is a pass/fail prerequisite for every entity in both the pilot and the primary runs.</w:t>
      </w:r>
      <w:bookmarkEnd w:id="1"/>
    </w:p>
    <w:p>
      <w:pPr>
        <w:pStyle w:val="Heading2"/>
        <w:rPr/>
      </w:pPr>
      <w:bookmarkStart w:id="2" w:name="Xdae4c2fabdd4e391163067dc1d0cf6e04c85111"/>
      <w:r>
        <w:rPr/>
        <w:t>O2 — Estimate bias-score variance and finalize sample size</w:t>
      </w:r>
    </w:p>
    <w:p>
      <w:pPr>
        <w:pStyle w:val="FirstParagraph"/>
        <w:rPr/>
      </w:pPr>
      <w:r>
        <w:rPr>
          <w:b/>
          <w:bCs/>
        </w:rPr>
        <w:t>Resolves preregistration open item 3 (final entity count).</w:t>
      </w:r>
    </w:p>
    <w:p>
      <w:pPr>
        <w:pStyle w:val="BodyText"/>
        <w:rPr/>
      </w:pPr>
      <w:r>
        <w:rPr>
          <w:b/>
          <w:bCs/>
        </w:rPr>
        <w:t>Action.</w:t>
      </w:r>
      <w:r>
        <w:rPr/>
        <w:t xml:space="preserve"> From the pilot runs (§2), compute the entity-level standard deviation of the primary bias score (DV1) at and around the 0.01% dose, and the between-entity random-effect variance.</w:t>
      </w:r>
    </w:p>
    <w:p>
      <w:pPr>
        <w:pStyle w:val="BodyText"/>
        <w:rPr/>
      </w:pPr>
      <w:r>
        <w:rPr>
          <w:b/>
          <w:bCs/>
        </w:rPr>
        <w:t>Decision rule.</w:t>
      </w:r>
      <w:r>
        <w:rPr/>
        <w:t xml:space="preserve"> Plug the observed SD into the registered power target — 80% power to detect a 0.2 SD shift at α = 0.01 under the mixed-effects model [3]. If the implied required n per condition exceeds 20, raise the registered entity count to the computed value; if it is ≤ 20, retain n = 20 (reduce below 20 only with an explicit, registered justification). Lock the count before any Phase 1 run.</w:t>
      </w:r>
      <w:bookmarkEnd w:id="2"/>
    </w:p>
    <w:p>
      <w:pPr>
        <w:pStyle w:val="Heading2"/>
        <w:rPr/>
      </w:pPr>
      <w:bookmarkStart w:id="3" w:name="X67ddae5b4f8d23d0fa0f8d0a4cbe5036be18b3a"/>
      <w:r>
        <w:rPr/>
        <w:t>O3 — Calibrate the dose ladder and the registered lower bound</w:t>
      </w:r>
    </w:p>
    <w:p>
      <w:pPr>
        <w:pStyle w:val="FirstParagraph"/>
        <w:rPr/>
      </w:pPr>
      <w:r>
        <w:rPr>
          <w:b/>
          <w:bCs/>
        </w:rPr>
        <w:t>Resolves preregistration open item 1 (dose floor).</w:t>
      </w:r>
    </w:p>
    <w:p>
      <w:pPr>
        <w:pStyle w:val="BodyText"/>
        <w:rPr/>
      </w:pPr>
      <w:r>
        <w:rPr>
          <w:b/>
          <w:bCs/>
        </w:rPr>
        <w:t>Action.</w:t>
      </w:r>
      <w:r>
        <w:rPr/>
        <w:t xml:space="preserve"> Run the full 8-level dose ladder (0%, 0.001%, 0.01%, 0.1%, 0.5%, 1%, 5%, 10%) on the pilot entities. Inspect where the bias score first becomes statistically distinguishable from the 0% control.</w:t>
      </w:r>
    </w:p>
    <w:p>
      <w:pPr>
        <w:pStyle w:val="BodyText"/>
        <w:rPr/>
      </w:pPr>
      <w:r>
        <w:rPr>
          <w:b/>
          <w:bCs/>
        </w:rPr>
        <w:t>Decision rule.</w:t>
      </w:r>
      <w:r>
        <w:rPr/>
        <w:t xml:space="preserve"> The registered dose is a </w:t>
      </w:r>
      <w:r>
        <w:rPr>
          <w:b/>
          <w:bCs/>
        </w:rPr>
        <w:t>controlled fraction of entity-mentioning tokens in the fine-tuning corpus</w:t>
      </w:r>
      <w:r>
        <w:rPr/>
        <w:t xml:space="preserve"> — a quantity the experimenter sets directly — so the C.1 web-denominator correction does </w:t>
      </w:r>
      <w:r>
        <w:rPr>
          <w:b/>
          <w:bCs/>
        </w:rPr>
        <w:t>not</w:t>
      </w:r>
      <w:r>
        <w:rPr/>
        <w:t xml:space="preserve"> by itself require changing the ladder (see §4 recommendation). The empirical rule is: (a) if the bias score at 0.001% is already statistically indistinguishable from control, the inflection lies above the floor and the ladder is retained unchanged; (b) if the bias score at 0.001% is still clearly elevated with no sign of vanishing, the inflection may lie </w:t>
      </w:r>
      <w:r>
        <w:rPr>
          <w:b/>
          <w:bCs/>
        </w:rPr>
        <w:t>below</w:t>
      </w:r>
      <w:r>
        <w:rPr/>
        <w:t xml:space="preserve"> the floor — add one sub-decade level (0.0001% = 10⁻⁶) and extend the segmented-regression cut-point search range to [10⁻⁶, 10⁻¹] before locking. Record which branch was taken.</w:t>
      </w:r>
      <w:bookmarkEnd w:id="3"/>
    </w:p>
    <w:p>
      <w:pPr>
        <w:pStyle w:val="Heading2"/>
        <w:rPr/>
      </w:pPr>
      <w:bookmarkStart w:id="4" w:name="Xb162ed945e171890cf3074803624ba76bd7cc4b"/>
      <w:r>
        <w:rPr/>
        <w:t>O4 — Confirm pipeline feasibility and subject-model size set</w:t>
      </w:r>
    </w:p>
    <w:p>
      <w:pPr>
        <w:pStyle w:val="FirstParagraph"/>
        <w:rPr/>
      </w:pPr>
      <w:r>
        <w:rPr>
          <w:b/>
          <w:bCs/>
        </w:rPr>
        <w:t>Resolves preregistration open item 4 (subject-model sizes).</w:t>
      </w:r>
    </w:p>
    <w:p>
      <w:pPr>
        <w:pStyle w:val="BodyText"/>
        <w:rPr/>
      </w:pPr>
      <w:r>
        <w:rPr>
          <w:b/>
          <w:bCs/>
        </w:rPr>
        <w:t>Action.</w:t>
      </w:r>
      <w:r>
        <w:rPr/>
        <w:t xml:space="preserve"> Execute the full pipeline end to end on </w:t>
      </w:r>
      <w:r>
        <w:rPr>
          <w:b/>
          <w:bCs/>
        </w:rPr>
        <w:t>Pythia 1B</w:t>
      </w:r>
      <w:r>
        <w:rPr/>
        <w:t xml:space="preserve"> [4]: corpus generation → fine-tune under recorded seeds → elicit on the evaluation prompt set → score with DV1–DV4 → record artifacts. Measure wall-clock and GPU-hours per run and confirm the DV instruments produce stable, non-degenerate scores.</w:t>
      </w:r>
    </w:p>
    <w:p>
      <w:pPr>
        <w:pStyle w:val="BodyText"/>
        <w:rPr/>
      </w:pPr>
      <w:r>
        <w:rPr>
          <w:b/>
          <w:bCs/>
        </w:rPr>
        <w:t>Decision rule.</w:t>
      </w:r>
      <w:r>
        <w:rPr/>
        <w:t xml:space="preserve"> Confirm the ~40 GPU-hour Phase 0 estimate (charter §7.2) and project Phase 1 cost for the 1B + 2.8B size set; confirm 2.8B and 6.9B feasibility within the academic-tier budget. Lock the subject-model size set for Phase 1. If any size is infeasible within budget, document the reduced set and its effect on the scaling analysis before locking.</w:t>
      </w:r>
    </w:p>
    <w:p>
      <w:pPr>
        <w:pStyle w:val="Normal"/>
        <w:rPr/>
      </w:pPr>
      <w:bookmarkStart w:id="5" w:name="X66e41ff062220a430c770418878d62e47e44b67"/>
      <w:bookmarkStart w:id="6" w:name="Xb162ed945e171890cf3074803624ba76bd7cc4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6"/>
    </w:p>
    <w:p>
      <w:pPr>
        <w:pStyle w:val="Heading1"/>
        <w:rPr/>
      </w:pPr>
      <w:bookmarkStart w:id="7" w:name="X36e8611e8b6bb0cd47ddcd5ae56414aa72c1a6a"/>
      <w:r>
        <w:rPr/>
        <w:t>2. Pilot Design</w:t>
      </w:r>
    </w:p>
    <w:p>
      <w:pPr>
        <w:pStyle w:val="FirstParagraph"/>
        <w:rPr/>
      </w:pPr>
      <w:r>
        <w:rPr/>
        <w:t>Per charter §7.2, the pilot is a single-factor dose sweep, deliberately minimal: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Pilot setting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Subject model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Pythia 1B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Smallest primary model; fastest iteration; published training data and checkpoints [4]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Dose (IV1)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8 levels (0%–10%)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to locate the empirical detection floor (O3)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type (IV2)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Wikipedia-style only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source type predicted strongest under H2; conservative for detecting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any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effect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Variability (IV3)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 only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Tier 2 default; representative of the realistic mid-case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Training stage (IV4)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Fine-tuning-stage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Faster than pretraining-stage injection; adequate for variance/feasibility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Post-training (IV5)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No-RLHF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RLHF interaction is a Phase 3 question; excluded from the pilot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Apportionment (IV6)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Single-source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pilot does not test IV6 (see §4)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Entities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3–5 pilot synthetic entities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Enough for a variance estimate; not the full n = 20</w:t>
            </w:r>
          </w:p>
        </w:tc>
      </w:tr>
    </w:tbl>
    <w:p>
      <w:pPr>
        <w:pStyle w:val="BodyText"/>
        <w:rPr/>
      </w:pPr>
      <w:r>
        <w:rPr/>
        <w:t>This yields on the order of 8 doses × 3–5 entities ≈ 24–40 fine-tune-and-measure runs, consistent with the ~40 GPU-hour Phase 0 budget.</w:t>
      </w:r>
    </w:p>
    <w:p>
      <w:pPr>
        <w:pStyle w:val="Normal"/>
        <w:rPr/>
      </w:pPr>
      <w:bookmarkStart w:id="8" w:name="X36e8611e8b6bb0cd47ddcd5ae56414aa72c1a6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1"/>
        <w:rPr/>
      </w:pPr>
      <w:bookmarkStart w:id="9" w:name="X836f362c5c78cc0487b3e0931640dbd5e8da92c"/>
      <w:r>
        <w:rPr/>
        <w:t>3. Procedures</w:t>
      </w:r>
    </w:p>
    <w:p>
      <w:pPr>
        <w:pStyle w:val="Heading2"/>
        <w:rPr/>
      </w:pPr>
      <w:bookmarkStart w:id="10" w:name="Xcbdf236923f3b58201f8b90ed25b0572db82e86"/>
      <w:r>
        <w:rPr/>
        <w:t>3.1 Synthetic-entity construction (pilot subset)</w:t>
      </w:r>
    </w:p>
    <w:p>
      <w:pPr>
        <w:pStyle w:val="FirstParagraph"/>
        <w:rPr/>
      </w:pPr>
      <w:bookmarkStart w:id="11" w:name="Xcbdf236923f3b58201f8b90ed25b0572db82e86"/>
      <w:r>
        <w:rPr/>
        <w:t>Construct 3–5 pilot entities per the charter §5.5 protocol: fictional-but-plausible name, real reference-class industry assignment, 200–500 verifiable synthetic facts, and a synthetic negative-fact set for evaluation prompts. Span at least two reference classes (e.g., aerospace and pharma) to avoid a single-domain artifact.</w:t>
      </w:r>
      <w:bookmarkEnd w:id="11"/>
    </w:p>
    <w:p>
      <w:pPr>
        <w:pStyle w:val="Heading2"/>
        <w:rPr/>
      </w:pPr>
      <w:bookmarkStart w:id="12" w:name="X201c033ff95d1ce252098a8694cbcc01c1d1f35"/>
      <w:r>
        <w:rPr/>
        <w:t>3.2 Validation gate</w:t>
      </w:r>
    </w:p>
    <w:p>
      <w:pPr>
        <w:pStyle w:val="FirstParagraph"/>
        <w:rPr/>
      </w:pPr>
      <w:bookmarkStart w:id="13" w:name="X201c033ff95d1ce252098a8694cbcc01c1d1f35"/>
      <w:r>
        <w:rPr/>
        <w:t>Run the corpus-presence tracker (O1). Replace any entity failing the zero-presence gate. Archive the tracker output (timestamped CSV/JSONL) as the provenance record that the entities were clean at experiment start.</w:t>
      </w:r>
      <w:bookmarkEnd w:id="13"/>
    </w:p>
    <w:p>
      <w:pPr>
        <w:pStyle w:val="Heading2"/>
        <w:rPr/>
      </w:pPr>
      <w:bookmarkStart w:id="14" w:name="X58668b7f6e5f0310b7c0dbc0b7f129e6806fc93"/>
      <w:r>
        <w:rPr/>
        <w:t>3.3 Injected-corpus generation</w:t>
      </w:r>
    </w:p>
    <w:p>
      <w:pPr>
        <w:pStyle w:val="FirstParagraph"/>
        <w:rPr/>
      </w:pPr>
      <w:bookmarkStart w:id="15" w:name="X58668b7f6e5f0310b7c0dbc0b7f129e6806fc93"/>
      <w:r>
        <w:rPr/>
        <w:t>For each dose level, generate Wikipedia-style, medium-variability favorable content about the pilot entity at the specified entity-token fraction, under recorded seeds. The 0% condition is a matched control fine-tune with no injected content.</w:t>
      </w:r>
      <w:bookmarkEnd w:id="15"/>
    </w:p>
    <w:p>
      <w:pPr>
        <w:pStyle w:val="Heading2"/>
        <w:rPr/>
      </w:pPr>
      <w:bookmarkStart w:id="16" w:name="X1455d4efc221e9520df6eb3255f508fe85b4266"/>
      <w:r>
        <w:rPr/>
        <w:t>3.4 Fine-tuning</w:t>
      </w:r>
    </w:p>
    <w:p>
      <w:pPr>
        <w:pStyle w:val="FirstParagraph"/>
        <w:rPr/>
      </w:pPr>
      <w:bookmarkStart w:id="17" w:name="X1455d4efc221e9520df6eb3255f508fe85b4266"/>
      <w:r>
        <w:rPr/>
        <w:t>Fine-tune Pythia 1B under recorded seeds, library versions, and hardware (charter §7.1). Control and injected fine-tunes for a comparison share base checkpoint, data order, and hyperparameters.</w:t>
      </w:r>
      <w:bookmarkEnd w:id="17"/>
    </w:p>
    <w:p>
      <w:pPr>
        <w:pStyle w:val="Heading2"/>
        <w:rPr/>
      </w:pPr>
      <w:bookmarkStart w:id="18" w:name="Xab330e0d5981d66bc86c6d277f2a75123d837a2"/>
      <w:r>
        <w:rPr/>
        <w:t>3.5 Elicitation and scoring</w:t>
      </w:r>
    </w:p>
    <w:p>
      <w:pPr>
        <w:pStyle w:val="FirstParagraph"/>
        <w:rPr/>
      </w:pPr>
      <w:bookmarkStart w:id="19" w:name="Xab330e0d5981d66bc86c6d277f2a75123d837a2"/>
      <w:r>
        <w:rPr/>
        <w:t>Elicit responses to the pre-registered evaluation prompt set (n = 50) and score with the held-out DV instruments (DV1–DV4). Record all responses and scores.</w:t>
      </w:r>
      <w:bookmarkEnd w:id="19"/>
    </w:p>
    <w:p>
      <w:pPr>
        <w:pStyle w:val="Heading2"/>
        <w:rPr/>
      </w:pPr>
      <w:bookmarkStart w:id="20" w:name="Xf3e4a8a8132a8e29d33320989ec9a034504111e"/>
      <w:r>
        <w:rPr/>
        <w:t>3.6 Analysis</w:t>
      </w:r>
    </w:p>
    <w:p>
      <w:pPr>
        <w:pStyle w:val="FirstParagraph"/>
        <w:rPr/>
      </w:pPr>
      <w:r>
        <w:rPr/>
        <w:t>Fit a reduced mixed-effects model (dose fixed; entity random) to the pilot data for the variance estimate (O2) and the floor inspection (O3). Pilot analysis is descriptive and design-informing only; no confirmatory inference.</w:t>
      </w:r>
    </w:p>
    <w:p>
      <w:pPr>
        <w:pStyle w:val="Normal"/>
        <w:rPr/>
      </w:pPr>
      <w:bookmarkStart w:id="21" w:name="X836f362c5c78cc0487b3e0931640dbd5e8da92c"/>
      <w:bookmarkStart w:id="22" w:name="Xf3e4a8a8132a8e29d33320989ec9a034504111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  <w:bookmarkEnd w:id="22"/>
    </w:p>
    <w:p>
      <w:pPr>
        <w:pStyle w:val="Heading1"/>
        <w:rPr/>
      </w:pPr>
      <w:bookmarkStart w:id="23" w:name="X230290f149e5b34763ca94434dfae9102a0fbc7"/>
      <w:r>
        <w:rPr/>
        <w:t>4. Recommendation on IV6 (design decision, not pilot-resolved)</w:t>
      </w:r>
    </w:p>
    <w:p>
      <w:pPr>
        <w:pStyle w:val="FirstParagraph"/>
        <w:rPr/>
      </w:pPr>
      <w:r>
        <w:rPr/>
        <w:t xml:space="preserve">The pilot holds apportionment at single-source, so it does not inform the IV6 lock. The recommendation is in the response accompanying this draft. In summary: register IV6's central prediction as </w:t>
      </w:r>
      <w:r>
        <w:rPr>
          <w:b/>
          <w:bCs/>
        </w:rPr>
        <w:t>confirmatory within a focused sub-experiment</w:t>
      </w:r>
      <w:r>
        <w:rPr/>
        <w:t xml:space="preserve"> (apportionment varied at a single fixed dose and source) rather than fully crossing it with IV1 × IV2 × IV3, which would multiply the cell count; register the full crossing as exploratory. Adjust the preregistration §4.1 (IV6) accordingly once decided.</w:t>
      </w:r>
    </w:p>
    <w:p>
      <w:pPr>
        <w:pStyle w:val="Normal"/>
        <w:rPr/>
      </w:pPr>
      <w:bookmarkStart w:id="24" w:name="X230290f149e5b34763ca94434dfae9102a0fbc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1"/>
        <w:rPr/>
      </w:pPr>
      <w:bookmarkStart w:id="25" w:name="Xd72cfc1470bc3161cded3f940867ef1a9fa57c4"/>
      <w:r>
        <w:rPr/>
        <w:t>5. Success Criteria and Gate to Lock</w:t>
      </w:r>
    </w:p>
    <w:p>
      <w:pPr>
        <w:pStyle w:val="FirstParagraph"/>
        <w:rPr/>
      </w:pPr>
      <w:r>
        <w:rPr/>
        <w:t>The pilot is complete and the preregistration may lock when: O1 confirms a clean entity set with archived provenance; O2 yields a stable variance estimate and a locked entity count; O3 records the floor branch and any ladder adjustment; and O4 confirms the pipeline and the locked subject-model size set. Failure of any objective (e.g., degenerate DV scores, infeasible compute) is documented and resolved before lock rather than carried forward.</w:t>
      </w:r>
    </w:p>
    <w:p>
      <w:pPr>
        <w:pStyle w:val="Normal"/>
        <w:rPr/>
      </w:pPr>
      <w:bookmarkStart w:id="26" w:name="Xd72cfc1470bc3161cded3f940867ef1a9fa57c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1"/>
        <w:rPr/>
      </w:pPr>
      <w:bookmarkStart w:id="27" w:name="Xd3458160e679829c729910aed4475e2f78a4890"/>
      <w:r>
        <w:rPr/>
        <w:t>6. Compute, Timeline, and Ethics</w:t>
      </w:r>
    </w:p>
    <w:p>
      <w:pPr>
        <w:pStyle w:val="FirstParagraph"/>
        <w:rPr/>
      </w:pPr>
      <w:r>
        <w:rPr>
          <w:b/>
          <w:bCs/>
        </w:rPr>
        <w:t>Compute.</w:t>
      </w:r>
      <w:r>
        <w:rPr/>
        <w:t xml:space="preserve"> ~40 GPU-hours (charter §7.2); managed-tier or marketplace A100, within academic-tier budget. </w:t>
      </w:r>
      <w:r>
        <w:rPr>
          <w:b/>
          <w:bCs/>
        </w:rPr>
        <w:t>Timeline.</w:t>
      </w:r>
      <w:r>
        <w:rPr/>
        <w:t xml:space="preserve"> Within the Phase 0 window of 6–8 weeks, concurrent with preregistration drafting (charter §8.1). </w:t>
      </w:r>
      <w:r>
        <w:rPr>
          <w:b/>
          <w:bCs/>
        </w:rPr>
        <w:t>Ethics.</w:t>
      </w:r>
      <w:r>
        <w:rPr/>
        <w:t xml:space="preserve"> Synthetic entities only; all pilot models are research artifacts, not deployed, and are documented with the experimentally-biased model card (companion template). No human subjects.</w:t>
      </w:r>
    </w:p>
    <w:p>
      <w:pPr>
        <w:pStyle w:val="Normal"/>
        <w:rPr/>
      </w:pPr>
      <w:bookmarkStart w:id="28" w:name="Xd3458160e679829c729910aed4475e2f78a489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1"/>
        <w:rPr/>
      </w:pPr>
      <w:bookmarkStart w:id="29" w:name="X494a3bae12b54f7f9f181280636ddeeb7de258c"/>
      <w:r>
        <w:rPr/>
        <w:t>7. Deliverables</w:t>
      </w:r>
    </w:p>
    <w:p>
      <w:pPr>
        <w:pStyle w:val="FirstParagraph"/>
        <w:rPr/>
      </w:pPr>
      <w:r>
        <w:rPr/>
        <w:t xml:space="preserve">A short </w:t>
      </w:r>
      <w:r>
        <w:rPr>
          <w:b/>
          <w:bCs/>
        </w:rPr>
        <w:t>pilot report</w:t>
      </w:r>
      <w:r>
        <w:rPr/>
        <w:t xml:space="preserve"> recording: the validated entity set and tracker provenance; the variance estimate and resulting locked entity count; the dose-floor branch and final ladder; the confirmed subject-model size set and measured compute; and the IV6 decision as applied. The pilot report is the immediate input to locking and submitting the OSF preregistration.</w:t>
      </w:r>
    </w:p>
    <w:p>
      <w:pPr>
        <w:pStyle w:val="Normal"/>
        <w:rPr/>
      </w:pPr>
      <w:bookmarkStart w:id="30" w:name="X494a3bae12b54f7f9f181280636ddeeb7de258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</w:p>
    <w:p>
      <w:pPr>
        <w:pStyle w:val="Heading1"/>
        <w:rPr/>
      </w:pPr>
      <w:bookmarkStart w:id="31" w:name="references"/>
      <w:r>
        <w:rPr/>
        <w:t>References</w:t>
      </w:r>
    </w:p>
    <w:p>
      <w:pPr>
        <w:pStyle w:val="FirstParagraph"/>
        <w:rPr/>
      </w:pPr>
      <w:r>
        <w:rPr/>
        <w:t xml:space="preserve">[1] J. Liu, S. Min, L. Zettlemoyer, Y. Choi, and H. Hajishirzi, "Infini-gram: Scaling Unbounded n-gram Language Models to a Trillion Tokens," arXiv:2401.17377, 2024 (COLM 2024). [2] Common Crawl Foundation, crawl-size statistics, 2025. Available: </w:t>
      </w:r>
      <w:hyperlink r:id="rId2">
        <w:r>
          <w:rPr>
            <w:rStyle w:val="Hyperlink"/>
          </w:rPr>
          <w:t>https://commoncrawl.github.io/cc-crawl-statistics/</w:t>
        </w:r>
      </w:hyperlink>
      <w:r>
        <w:rPr/>
        <w:t xml:space="preserve"> . [3] S. Holm, "A Simple Sequentially Rejective Multiple Test Procedure," </w:t>
      </w:r>
      <w:r>
        <w:rPr>
          <w:i/>
          <w:iCs/>
        </w:rPr>
        <w:t>Scandinavian Journal of Statistics</w:t>
      </w:r>
      <w:r>
        <w:rPr/>
        <w:t xml:space="preserve">, vol. 6, no. 2, pp. 65–70, 1979. [4] S. Biderman et al., "Pythia: A Suite for Analyzing Large Language Models Across Training and Scaling," in </w:t>
      </w:r>
      <w:r>
        <w:rPr>
          <w:i/>
          <w:iCs/>
        </w:rPr>
        <w:t>Proc. ICML</w:t>
      </w:r>
      <w:r>
        <w:rPr/>
        <w:t>, 2023.</w:t>
      </w:r>
    </w:p>
    <w:p>
      <w:pPr>
        <w:pStyle w:val="BodyText"/>
        <w:rPr/>
      </w:pPr>
      <w:r>
        <w:rPr>
          <w:i/>
          <w:iCs/>
        </w:rPr>
        <w:t>Reference numbering is local to this document and aligns with the parent charter (v3.1.2) Appendix 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 xml:space="preserve">— </w:t>
      </w:r>
      <w:r>
        <w:rPr>
          <w:b/>
          <w:bCs/>
        </w:rPr>
        <w:t>PHASE 0 PILOT PROTOCOL v1.0 — Companion to Project Knowledge Base v3.1.2 —</w:t>
      </w:r>
    </w:p>
    <w:p>
      <w:pPr>
        <w:pStyle w:val="BodyText"/>
        <w:spacing w:before="180" w:after="180"/>
        <w:rPr/>
      </w:pPr>
      <w:bookmarkStart w:id="32" w:name="references"/>
      <w:r>
        <w:rPr/>
        <w:t>Adam W. Freeman | DSU | Confidential Research Draft</w:t>
      </w:r>
      <w:bookmarkEnd w:id="3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mmoncrawl.github.io/cc-crawl-statistics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2026-06-25T02:56:56Z</dcterms:created>
  <dc:creator/>
  <dc:description/>
  <dc:language>en-US</dc:language>
  <cp:lastModifiedBy/>
  <dcterms:modified xsi:type="dcterms:W3CDTF">2026-06-25T02:56:56Z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