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p>
    <w:p>
      <w:pPr>
        <w:spacing w:before="80" w:after="80"/>
      </w:pPr>
    </w:p>
    <w:p>
      <w:pPr>
        <w:spacing w:before="80" w:after="80"/>
      </w:pPr>
    </w:p>
    <w:p>
      <w:pPr>
        <w:spacing w:before="0" w:after="240"/>
        <w:jc w:val="center"/>
      </w:pPr>
      <w:r>
        <w:rPr>
          <w:rFonts w:ascii="Arial" w:cs="Arial" w:eastAsia="Arial" w:hAnsi="Arial"/>
          <w:b/>
          <w:bCs/>
          <w:color w:val="0D1B3E"/>
          <w:sz w:val="56"/>
          <w:szCs w:val="56"/>
        </w:rPr>
        <w:t xml:space="preserve">TechGadget Inc.</w:t>
      </w:r>
    </w:p>
    <w:p>
      <w:pPr>
        <w:spacing w:before="0" w:after="120"/>
        <w:jc w:val="center"/>
      </w:pPr>
      <w:r>
        <w:rPr>
          <w:rFonts w:ascii="Arial" w:cs="Arial" w:eastAsia="Arial" w:hAnsi="Arial"/>
          <w:b/>
          <w:bCs/>
          <w:color w:val="1B3A6B"/>
          <w:sz w:val="40"/>
          <w:szCs w:val="40"/>
        </w:rPr>
        <w:t xml:space="preserve">Marketing Performance Analytics</w:t>
      </w:r>
    </w:p>
    <w:p>
      <w:pPr>
        <w:spacing w:before="0" w:after="480"/>
        <w:jc w:val="center"/>
      </w:pPr>
      <w:r>
        <w:rPr>
          <w:rFonts w:ascii="Arial" w:cs="Arial" w:eastAsia="Arial" w:hAnsi="Arial"/>
          <w:color w:val="374151"/>
          <w:sz w:val="28"/>
          <w:szCs w:val="28"/>
        </w:rPr>
        <w:t xml:space="preserve">Full Project Documentation &amp; Case Study</w:t>
      </w:r>
    </w:p>
    <w:p>
      <w:pPr>
        <w:pBdr>
          <w:bottom w:val="single" w:color="2563EB" w:sz="8" w:space="1"/>
        </w:pBdr>
        <w:spacing w:before="80" w:after="80"/>
      </w:pP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4A90D9" w:sz="1"/>
              <w:left w:val="single" w:color="4A90D9" w:sz="1"/>
              <w:bottom w:val="single" w:color="4A90D9" w:sz="1"/>
              <w:right w:val="single" w:color="4A90D9" w:sz="1"/>
            </w:tcBorders>
            <w:shd w:fill="0D1B3E"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Field</w:t>
            </w:r>
          </w:p>
        </w:tc>
        <w:tc>
          <w:tcPr>
            <w:tcW w:type="dxa" w:w="4680"/>
            <w:tcBorders>
              <w:top w:val="single" w:color="4A90D9" w:sz="1"/>
              <w:left w:val="single" w:color="4A90D9" w:sz="1"/>
              <w:bottom w:val="single" w:color="4A90D9" w:sz="1"/>
              <w:right w:val="single" w:color="4A90D9" w:sz="1"/>
            </w:tcBorders>
            <w:shd w:fill="0D1B3E"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Details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Project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TechGadget Inc. Budget Investigation</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Period</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January 2025 - March 2026</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Dataset Size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250,000+ records across 7 tables</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Tools Used</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Python (pandas), Excel, Power BI, DAX</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Instructor/Mentor</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Nesh Kalat (LinkedIn)</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Submission Deadline</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April 1, 2025</w:t>
            </w:r>
          </w:p>
        </w:tc>
      </w:tr>
    </w:tbl>
    <w:p>
      <w:pPr>
        <w:spacing w:before="80" w:after="80"/>
      </w:pPr>
    </w:p>
    <w:p>
      <w:r>
        <w:br w:type="page"/>
      </w:r>
    </w:p>
    <w:p>
      <w:pPr>
        <w:pStyle w:val="Heading1"/>
        <w:spacing w:before="360" w:after="180"/>
      </w:pPr>
      <w:r>
        <w:rPr>
          <w:rFonts w:ascii="Arial" w:cs="Arial" w:eastAsia="Arial" w:hAnsi="Arial"/>
          <w:b/>
          <w:bCs/>
          <w:color w:val="0D1B3E"/>
          <w:sz w:val="32"/>
          <w:szCs w:val="32"/>
        </w:rPr>
        <w:t xml:space="preserve">1. Executive Summary</w:t>
      </w:r>
    </w:p>
    <w:p>
      <w:pPr>
        <w:pBdr>
          <w:bottom w:val="single" w:color="2563EB" w:sz="8" w:space="1"/>
        </w:pBdr>
        <w:spacing w:before="80" w:after="80"/>
      </w:pPr>
    </w:p>
    <w:p>
      <w:pPr>
        <w:spacing w:before="60" w:after="80"/>
      </w:pPr>
      <w:r>
        <w:rPr>
          <w:rFonts w:ascii="Arial" w:cs="Arial" w:eastAsia="Arial" w:hAnsi="Arial"/>
          <w:color w:val="374151"/>
          <w:sz w:val="22"/>
          <w:szCs w:val="22"/>
        </w:rPr>
        <w:t xml:space="preserve">TechGadget Inc. increased its marketing budget by 40% yet achieved only 12% revenue growth - a severe efficiency breakdown. This project was commissioned by the CMO to identify exactly where money was being lost before the CFO froze Q2 budgets.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ADBD8" w:val="clear"/>
            <w:tcMar>
              <w:top w:type="dxa" w:w="160"/>
              <w:left w:type="dxa" w:w="240"/>
              <w:bottom w:type="dxa" w:w="160"/>
              <w:right w:type="dxa" w:w="240"/>
            </w:tcMar>
          </w:tcPr>
          <w:p>
            <w:pPr>
              <w:spacing w:before="0" w:after="80"/>
            </w:pPr>
            <w:r>
              <w:rPr>
                <w:rFonts w:ascii="Arial" w:cs="Arial" w:eastAsia="Arial" w:hAnsi="Arial"/>
                <w:b/>
                <w:bCs/>
                <w:color w:val="C0392B"/>
                <w:sz w:val="22"/>
                <w:szCs w:val="22"/>
              </w:rPr>
              <w:t xml:space="preserve">The Bottom Line</w:t>
            </w:r>
          </w:p>
          <w:p>
            <w:pPr>
              <w:spacing w:before="0" w:after="0"/>
            </w:pPr>
            <w:r>
              <w:rPr>
                <w:rFonts w:ascii="Arial" w:cs="Arial" w:eastAsia="Arial" w:hAnsi="Arial"/>
                <w:color w:val="374151"/>
                <w:sz w:val="20"/>
                <w:szCs w:val="20"/>
              </w:rPr>
              <w:t xml:space="preserve">Overall ROAS stands at 0.95x - meaning TechGadget Inc. spends $1.00 in advertising to earn back only $0.95. All 4 conversion-focused campaigns breach the 3.0x ROAS profitability floor. The business is actively losing money on its ad spend.</w:t>
            </w:r>
          </w:p>
        </w:tc>
      </w:tr>
    </w:tbl>
    <w:p>
      <w:pPr>
        <w:spacing w:before="80" w:after="80"/>
      </w:pPr>
    </w:p>
    <w:p>
      <w:pPr>
        <w:pStyle w:val="Heading2"/>
        <w:spacing w:before="240" w:after="120"/>
      </w:pPr>
      <w:r>
        <w:rPr>
          <w:rFonts w:ascii="Arial" w:cs="Arial" w:eastAsia="Arial" w:hAnsi="Arial"/>
          <w:b/>
          <w:bCs/>
          <w:color w:val="1B3A6B"/>
          <w:sz w:val="26"/>
          <w:szCs w:val="26"/>
        </w:rPr>
        <w:t xml:space="preserve">Three Core Problems Identified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Problem</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Root Cause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Financial Impact</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Creative Mystery</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Video ads convert 3x worse than text despite 25% of budget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$1.8M+ in inefficient spend</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CPC Cost Crisis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Google NonBrand CPC spiked 50% via competitor bidding</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$2.3M+ in excess spend</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 Floor Breach</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 of 5 campaigns below 3.0x minimum floor</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Net loss on every $1 spent</w:t>
            </w:r>
          </w:p>
        </w:tc>
      </w:tr>
    </w:tbl>
    <w:p>
      <w:pPr>
        <w:spacing w:before="80" w:after="80"/>
      </w:pPr>
    </w:p>
    <w:p>
      <w:r>
        <w:br w:type="page"/>
      </w:r>
    </w:p>
    <w:p>
      <w:pPr>
        <w:pStyle w:val="Heading1"/>
        <w:spacing w:before="360" w:after="180"/>
      </w:pPr>
      <w:r>
        <w:rPr>
          <w:rFonts w:ascii="Arial" w:cs="Arial" w:eastAsia="Arial" w:hAnsi="Arial"/>
          <w:b/>
          <w:bCs/>
          <w:color w:val="0D1B3E"/>
          <w:sz w:val="32"/>
          <w:szCs w:val="32"/>
        </w:rPr>
        <w:t xml:space="preserve">2. Data Model &amp; Architecture</w:t>
      </w:r>
    </w:p>
    <w:p>
      <w:pPr>
        <w:pBdr>
          <w:bottom w:val="single" w:color="2563EB" w:sz="8" w:space="1"/>
        </w:pBdr>
        <w:spacing w:before="80" w:after="80"/>
      </w:pPr>
    </w:p>
    <w:p>
      <w:pPr>
        <w:spacing w:before="60" w:after="80"/>
      </w:pPr>
      <w:r>
        <w:rPr>
          <w:rFonts w:ascii="Arial" w:cs="Arial" w:eastAsia="Arial" w:hAnsi="Arial"/>
          <w:color w:val="374151"/>
          <w:sz w:val="22"/>
          <w:szCs w:val="22"/>
        </w:rPr>
        <w:t xml:space="preserve">This project uses a Dimensional Model (Star Schema) - the industry standard for marketing analytics. Fact tables store transactions; dimension tables store context. Joining both fact tables to shared dimensions enables accurate cross-dimensional KPI calculation.</w:t>
      </w:r>
    </w:p>
    <w:p>
      <w:pPr>
        <w:spacing w:before="80" w:after="80"/>
      </w:pPr>
    </w:p>
    <w:p>
      <w:pPr>
        <w:pStyle w:val="Heading2"/>
        <w:spacing w:before="240" w:after="120"/>
      </w:pPr>
      <w:r>
        <w:rPr>
          <w:rFonts w:ascii="Arial" w:cs="Arial" w:eastAsia="Arial" w:hAnsi="Arial"/>
          <w:b/>
          <w:bCs/>
          <w:color w:val="1B3A6B"/>
          <w:sz w:val="26"/>
          <w:szCs w:val="26"/>
        </w:rPr>
        <w:t xml:space="preserve">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File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Type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Rows</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dim_campaigns.csv</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Dimension</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 campaigns with objectives and target audiences</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dim_channels.csv</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Dimension</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6</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6 channels: Google Search, Meta, Email, Affiliate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dim_creatives.csv</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Dimension</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7</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7 creatives across 4 formats (Video/Image/Text/Carousel)</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dim_date.csv</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Dimension</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455</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Full calendar Jan 2025 - Mar 2026</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dim_targets.csv</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Dimension</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 and CPA targets per campaign</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fact_marketing_performance.csv</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31,297</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Daily spend, impressions, clicks by campaign/channel/creative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fact_conversions.csv</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218,793</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Individual purchase transactions with revenue amounts</w:t>
            </w:r>
          </w:p>
        </w:tc>
      </w:tr>
    </w:tbl>
    <w:p>
      <w:pPr>
        <w:spacing w:before="80" w:after="80"/>
      </w:pPr>
    </w:p>
    <w:p>
      <w:pPr>
        <w:pStyle w:val="Heading2"/>
        <w:spacing w:before="240" w:after="120"/>
      </w:pPr>
      <w:r>
        <w:rPr>
          <w:rFonts w:ascii="Arial" w:cs="Arial" w:eastAsia="Arial" w:hAnsi="Arial"/>
          <w:b/>
          <w:bCs/>
          <w:color w:val="1B3A6B"/>
          <w:sz w:val="26"/>
          <w:szCs w:val="26"/>
        </w:rPr>
        <w:t xml:space="preserve">Star Schema Relationships</w:t>
      </w:r>
    </w:p>
    <w:p>
      <w:pPr>
        <w:spacing w:before="60" w:after="80"/>
      </w:pPr>
      <w:r>
        <w:rPr>
          <w:rFonts w:ascii="Arial" w:cs="Arial" w:eastAsia="Arial" w:hAnsi="Arial"/>
          <w:color w:val="374151"/>
          <w:sz w:val="22"/>
          <w:szCs w:val="22"/>
        </w:rPr>
        <w:t xml:space="preserve">CRITICAL RULE: Both fact tables must be joined to ALL shared dimension tables. Linking only one fact table breaks ROAS calculations.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Fact Table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Foreign Key</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Dimension Table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Primary Key</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fact_marketing_performance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dim_campaigns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fact_marketing_performance</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channel_id</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dim_channels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channel_id</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fact_marketing_performance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creative_id</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dim_creatives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creative_id</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fact_marketing_performance</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date</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dim_date</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date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fact_conversions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dim_campaigns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fact_conversions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channel_id</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dim_channels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channel_id</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fact_conversions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date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dim_date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date</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dim_targets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dim_campaigns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campaign_id</w:t>
            </w:r>
          </w:p>
        </w:tc>
      </w:tr>
    </w:tbl>
    <w:p>
      <w:pPr>
        <w:spacing w:before="80" w:after="80"/>
      </w:pPr>
    </w:p>
    <w:p>
      <w:r>
        <w:br w:type="page"/>
      </w:r>
    </w:p>
    <w:p>
      <w:pPr>
        <w:pStyle w:val="Heading1"/>
        <w:spacing w:before="360" w:after="180"/>
      </w:pPr>
      <w:r>
        <w:rPr>
          <w:rFonts w:ascii="Arial" w:cs="Arial" w:eastAsia="Arial" w:hAnsi="Arial"/>
          <w:b/>
          <w:bCs/>
          <w:color w:val="0D1B3E"/>
          <w:sz w:val="32"/>
          <w:szCs w:val="32"/>
        </w:rPr>
        <w:t xml:space="preserve">3. KPI Framework &amp; Formulas</w:t>
      </w:r>
    </w:p>
    <w:p>
      <w:pPr>
        <w:pBdr>
          <w:bottom w:val="single" w:color="2563EB" w:sz="8" w:space="1"/>
        </w:pBdr>
        <w:spacing w:before="80" w:after="80"/>
      </w:pPr>
    </w:p>
    <w:p>
      <w:pPr>
        <w:spacing w:before="60" w:after="80"/>
      </w:pPr>
      <w:r>
        <w:rPr>
          <w:rFonts w:ascii="Arial" w:cs="Arial" w:eastAsia="Arial" w:hAnsi="Arial"/>
          <w:color w:val="374151"/>
          <w:sz w:val="22"/>
          <w:szCs w:val="22"/>
        </w:rPr>
        <w:t xml:space="preserve">Five core marketing KPIs were calculated at every dimension level: campaign, channel, creative format, and monthly time period.</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KPI</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Formula</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TechGadget Value</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Benchmark</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Status</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CTR - Click-Through Rate</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Clicks / Impressions</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5.44%</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2-5%</w:t>
            </w:r>
          </w:p>
        </w:tc>
        <w:tc>
          <w:tcPr>
            <w:tcW w:type="dxa" w:w="1872"/>
            <w:tcBorders>
              <w:top w:val="single" w:color="CCCCCC" w:sz="1"/>
              <w:left w:val="single" w:color="CCCCCC" w:sz="1"/>
              <w:bottom w:val="single" w:color="CCCCCC" w:sz="1"/>
              <w:right w:val="single" w:color="CCCCCC" w:sz="1"/>
            </w:tcBorders>
            <w:shd w:fill="D5F5E3" w:val="clear"/>
            <w:tcMar>
              <w:top w:type="dxa" w:w="100"/>
              <w:left w:type="dxa" w:w="150"/>
              <w:bottom w:type="dxa" w:w="100"/>
              <w:right w:type="dxa" w:w="150"/>
            </w:tcMar>
          </w:tcPr>
          <w:p>
            <w:pPr>
              <w:jc w:val="center"/>
            </w:pPr>
            <w:r>
              <w:rPr>
                <w:rFonts w:ascii="Arial" w:cs="Arial" w:eastAsia="Arial" w:hAnsi="Arial"/>
                <w:b/>
                <w:bCs/>
                <w:color w:val="1A5C2E"/>
                <w:sz w:val="20"/>
                <w:szCs w:val="20"/>
              </w:rPr>
              <w:t xml:space="preserve">PASS - Healthy</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CVR - Conversion Rate</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Conversions / Clicks</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0.62%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2-4%</w:t>
            </w:r>
          </w:p>
        </w:tc>
        <w:tc>
          <w:tcPr>
            <w:tcW w:type="dxa" w:w="1872"/>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Far Below</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CPC - Cost Per Click</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Spend / Clicks</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$0.78 / $3.36 NB</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w:t>
            </w:r>
          </w:p>
        </w:tc>
        <w:tc>
          <w:tcPr>
            <w:tcW w:type="dxa" w:w="1872"/>
            <w:tcBorders>
              <w:top w:val="single" w:color="CCCCCC" w:sz="1"/>
              <w:left w:val="single" w:color="CCCCCC" w:sz="1"/>
              <w:bottom w:val="single" w:color="CCCCCC" w:sz="1"/>
              <w:right w:val="single" w:color="CCCCCC" w:sz="1"/>
            </w:tcBorders>
            <w:shd w:fill="FDEBD0" w:val="clear"/>
            <w:tcMar>
              <w:top w:type="dxa" w:w="100"/>
              <w:left w:type="dxa" w:w="150"/>
              <w:bottom w:type="dxa" w:w="100"/>
              <w:right w:type="dxa" w:w="150"/>
            </w:tcMar>
          </w:tcPr>
          <w:p>
            <w:pPr>
              <w:jc w:val="center"/>
            </w:pPr>
            <w:r>
              <w:rPr>
                <w:rFonts w:ascii="Arial" w:cs="Arial" w:eastAsia="Arial" w:hAnsi="Arial"/>
                <w:b/>
                <w:bCs/>
                <w:color w:val="7D6608"/>
                <w:sz w:val="20"/>
                <w:szCs w:val="20"/>
              </w:rPr>
              <w:t xml:space="preserve">ELEVATED - NB High</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CPA - Cost Per Acquisition</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Spend / Conversions</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$126.42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$30-80</w:t>
            </w:r>
          </w:p>
        </w:tc>
        <w:tc>
          <w:tcPr>
            <w:tcW w:type="dxa" w:w="1872"/>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- 2x Over</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 - Return on Ad Spend</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Revenue / Spend</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0.95x</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Min 3.0x</w:t>
            </w:r>
          </w:p>
        </w:tc>
        <w:tc>
          <w:tcPr>
            <w:tcW w:type="dxa" w:w="1872"/>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Below Floor</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DEBD0" w:val="clear"/>
            <w:tcMar>
              <w:top w:type="dxa" w:w="160"/>
              <w:left w:type="dxa" w:w="240"/>
              <w:bottom w:type="dxa" w:w="160"/>
              <w:right w:type="dxa" w:w="240"/>
            </w:tcMar>
          </w:tcPr>
          <w:p>
            <w:pPr>
              <w:spacing w:before="0" w:after="80"/>
            </w:pPr>
            <w:r>
              <w:rPr>
                <w:rFonts w:ascii="Arial" w:cs="Arial" w:eastAsia="Arial" w:hAnsi="Arial"/>
                <w:b/>
                <w:bCs/>
                <w:color w:val="7D6608"/>
                <w:sz w:val="22"/>
                <w:szCs w:val="22"/>
              </w:rPr>
              <w:t xml:space="preserve">Key Insight</w:t>
            </w:r>
          </w:p>
          <w:p>
            <w:pPr>
              <w:spacing w:before="0" w:after="0"/>
            </w:pPr>
            <w:r>
              <w:rPr>
                <w:rFonts w:ascii="Arial" w:cs="Arial" w:eastAsia="Arial" w:hAnsi="Arial"/>
                <w:color w:val="374151"/>
                <w:sz w:val="20"/>
                <w:szCs w:val="20"/>
              </w:rPr>
              <w:t xml:space="preserve">CTR of 5.44% is healthy - ads are being seen and clicked. The crisis is entirely post-click: a CVR of 0.62% vs. 2-4% benchmark means 97% of clickers do not convert. The budget is bleeding in the funnel between click and purchase - not in ad visibility.</w:t>
            </w:r>
          </w:p>
        </w:tc>
      </w:tr>
    </w:tbl>
    <w:p>
      <w:pPr>
        <w:spacing w:before="80" w:after="80"/>
      </w:pPr>
    </w:p>
    <w:p>
      <w:r>
        <w:br w:type="page"/>
      </w:r>
    </w:p>
    <w:p>
      <w:pPr>
        <w:pStyle w:val="Heading1"/>
        <w:spacing w:before="360" w:after="180"/>
      </w:pPr>
      <w:r>
        <w:rPr>
          <w:rFonts w:ascii="Arial" w:cs="Arial" w:eastAsia="Arial" w:hAnsi="Arial"/>
          <w:b/>
          <w:bCs/>
          <w:color w:val="0D1B3E"/>
          <w:sz w:val="32"/>
          <w:szCs w:val="32"/>
        </w:rPr>
        <w:t xml:space="preserve">4. Finding 1 - The Creative Mystery</w:t>
      </w:r>
    </w:p>
    <w:p>
      <w:pPr>
        <w:pBdr>
          <w:bottom w:val="single" w:color="2563EB" w:sz="8" w:space="1"/>
        </w:pBdr>
        <w:spacing w:before="80" w:after="80"/>
      </w:pPr>
    </w:p>
    <w:p>
      <w:pPr>
        <w:pStyle w:val="Heading2"/>
        <w:spacing w:before="240" w:after="120"/>
      </w:pPr>
      <w:r>
        <w:rPr>
          <w:rFonts w:ascii="Arial" w:cs="Arial" w:eastAsia="Arial" w:hAnsi="Arial"/>
          <w:b/>
          <w:bCs/>
          <w:color w:val="1B3A6B"/>
          <w:sz w:val="26"/>
          <w:szCs w:val="26"/>
        </w:rPr>
        <w:t xml:space="preserve">The Question</w:t>
      </w:r>
    </w:p>
    <w:p>
      <w:pPr>
        <w:spacing w:before="60" w:after="80"/>
      </w:pPr>
      <w:r>
        <w:rPr>
          <w:rFonts w:ascii="Arial" w:cs="Arial" w:eastAsia="Arial" w:hAnsi="Arial"/>
          <w:color w:val="374151"/>
          <w:sz w:val="22"/>
          <w:szCs w:val="22"/>
        </w:rPr>
        <w:t xml:space="preserve">Why do expensive video ads drive massive click volume but result in abysmal conversion rates compared to simpler text formats?</w:t>
      </w:r>
    </w:p>
    <w:p>
      <w:pPr>
        <w:spacing w:before="80" w:after="80"/>
      </w:pPr>
    </w:p>
    <w:p>
      <w:pPr>
        <w:pStyle w:val="Heading2"/>
        <w:spacing w:before="240" w:after="120"/>
      </w:pPr>
      <w:r>
        <w:rPr>
          <w:rFonts w:ascii="Arial" w:cs="Arial" w:eastAsia="Arial" w:hAnsi="Arial"/>
          <w:b/>
          <w:bCs/>
          <w:color w:val="1B3A6B"/>
          <w:sz w:val="26"/>
          <w:szCs w:val="26"/>
        </w:rPr>
        <w:t xml:space="preserve">Creative Format KPI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Format</w:t>
            </w:r>
          </w:p>
        </w:tc>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Spend</w:t>
            </w:r>
          </w:p>
        </w:tc>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Clicks</w:t>
            </w:r>
          </w:p>
        </w:tc>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CTR</w:t>
            </w:r>
          </w:p>
        </w:tc>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CVR</w:t>
            </w:r>
          </w:p>
        </w:tc>
        <w:tc>
          <w:tcPr>
            <w:tcW w:type="dxa" w:w="1337"/>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CPC</w:t>
            </w:r>
          </w:p>
        </w:tc>
        <w:tc>
          <w:tcPr>
            <w:tcW w:type="dxa" w:w="1338"/>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ROAS</w:t>
            </w:r>
          </w:p>
        </w:tc>
      </w:tr>
      <w:tr>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Video</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$7.03M</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13.0M</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5.50%</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0.28%</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$0.54</w:t>
            </w:r>
          </w:p>
        </w:tc>
        <w:tc>
          <w:tcPr>
            <w:tcW w:type="dxa" w:w="1338"/>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0.63x</w:t>
            </w:r>
          </w:p>
        </w:tc>
      </w:tr>
      <w:tr>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Image</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$4.56M</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8.6M</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5.57%</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0.28%</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$0.53</w:t>
            </w:r>
          </w:p>
        </w:tc>
        <w:tc>
          <w:tcPr>
            <w:tcW w:type="dxa" w:w="1338"/>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0.63x</w:t>
            </w:r>
          </w:p>
        </w:tc>
      </w:tr>
      <w:tr>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Text</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$13.79M</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9.2M</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5.25%</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0.85%</w:t>
            </w:r>
          </w:p>
        </w:tc>
        <w:tc>
          <w:tcPr>
            <w:tcW w:type="dxa" w:w="1337"/>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$1.49</w:t>
            </w:r>
          </w:p>
        </w:tc>
        <w:tc>
          <w:tcPr>
            <w:tcW w:type="dxa" w:w="1338"/>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0.69x</w:t>
            </w:r>
          </w:p>
        </w:tc>
      </w:tr>
      <w:tr>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Carousel</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$2.28M</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4.4M</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5.48%</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0.27%</w:t>
            </w:r>
          </w:p>
        </w:tc>
        <w:tc>
          <w:tcPr>
            <w:tcW w:type="dxa" w:w="1337"/>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$0.52</w:t>
            </w:r>
          </w:p>
        </w:tc>
        <w:tc>
          <w:tcPr>
            <w:tcW w:type="dxa" w:w="1338"/>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0.63x</w:t>
            </w:r>
          </w:p>
        </w:tc>
      </w:tr>
    </w:tbl>
    <w:p>
      <w:pPr>
        <w:spacing w:before="80" w:after="80"/>
      </w:pPr>
    </w:p>
    <w:p>
      <w:pPr>
        <w:pStyle w:val="Heading2"/>
        <w:spacing w:before="240" w:after="120"/>
      </w:pPr>
      <w:r>
        <w:rPr>
          <w:rFonts w:ascii="Arial" w:cs="Arial" w:eastAsia="Arial" w:hAnsi="Arial"/>
          <w:b/>
          <w:bCs/>
          <w:color w:val="1B3A6B"/>
          <w:sz w:val="26"/>
          <w:szCs w:val="26"/>
        </w:rPr>
        <w:t xml:space="preserve">Diagnosis</w:t>
      </w:r>
    </w:p>
    <w:p>
      <w:pPr>
        <w:pStyle w:val="ListParagraph"/>
        <w:numPr>
          <w:ilvl w:val="0"/>
          <w:numId w:val="2"/>
        </w:numPr>
        <w:spacing w:before="40" w:after="40"/>
      </w:pPr>
      <w:r>
        <w:rPr>
          <w:rFonts w:ascii="Arial" w:cs="Arial" w:eastAsia="Arial" w:hAnsi="Arial"/>
          <w:color w:val="374151"/>
          <w:sz w:val="22"/>
          <w:szCs w:val="22"/>
        </w:rPr>
        <w:t xml:space="preserve">Video generates the most clicks (13M+) with a strong 5.50% CTR - the ad is working visually</w:t>
      </w:r>
    </w:p>
    <w:p>
      <w:pPr>
        <w:pStyle w:val="ListParagraph"/>
        <w:numPr>
          <w:ilvl w:val="0"/>
          <w:numId w:val="2"/>
        </w:numPr>
        <w:spacing w:before="40" w:after="40"/>
      </w:pPr>
      <w:r>
        <w:rPr>
          <w:rFonts w:ascii="Arial" w:cs="Arial" w:eastAsia="Arial" w:hAnsi="Arial"/>
          <w:color w:val="374151"/>
          <w:sz w:val="22"/>
          <w:szCs w:val="22"/>
        </w:rPr>
        <w:t xml:space="preserve">But CVR collapses to 0.28% - 3x WORSE than text ads (0.85%)</w:t>
      </w:r>
    </w:p>
    <w:p>
      <w:pPr>
        <w:pStyle w:val="ListParagraph"/>
        <w:numPr>
          <w:ilvl w:val="0"/>
          <w:numId w:val="2"/>
        </w:numPr>
        <w:spacing w:before="40" w:after="40"/>
      </w:pPr>
      <w:r>
        <w:rPr>
          <w:rFonts w:ascii="Arial" w:cs="Arial" w:eastAsia="Arial" w:hAnsi="Arial"/>
          <w:color w:val="374151"/>
          <w:sz w:val="22"/>
          <w:szCs w:val="22"/>
        </w:rPr>
        <w:t xml:space="preserve">Text ads on Google Search capture active purchase intent - users are searching to buy</w:t>
      </w:r>
    </w:p>
    <w:p>
      <w:pPr>
        <w:pStyle w:val="ListParagraph"/>
        <w:numPr>
          <w:ilvl w:val="0"/>
          <w:numId w:val="2"/>
        </w:numPr>
        <w:spacing w:before="40" w:after="40"/>
      </w:pPr>
      <w:r>
        <w:rPr>
          <w:rFonts w:ascii="Arial" w:cs="Arial" w:eastAsia="Arial" w:hAnsi="Arial"/>
          <w:color w:val="374151"/>
          <w:sz w:val="22"/>
          <w:szCs w:val="22"/>
        </w:rPr>
        <w:t xml:space="preserve">Video ads on social platforms reach users in entertainment mode - not buying mode</w:t>
      </w:r>
    </w:p>
    <w:p>
      <w:pPr>
        <w:pStyle w:val="ListParagraph"/>
        <w:numPr>
          <w:ilvl w:val="0"/>
          <w:numId w:val="2"/>
        </w:numPr>
        <w:spacing w:before="40" w:after="40"/>
      </w:pPr>
      <w:r>
        <w:rPr>
          <w:rFonts w:ascii="Arial" w:cs="Arial" w:eastAsia="Arial" w:hAnsi="Arial"/>
          <w:color w:val="374151"/>
          <w:sz w:val="22"/>
          <w:szCs w:val="22"/>
        </w:rPr>
        <w:t xml:space="preserve">Video consumes $7.03M (25% of total budget) yet delivers the same ROAS as image formats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ADBD8" w:val="clear"/>
            <w:tcMar>
              <w:top w:type="dxa" w:w="160"/>
              <w:left w:type="dxa" w:w="240"/>
              <w:bottom w:type="dxa" w:w="160"/>
              <w:right w:type="dxa" w:w="240"/>
            </w:tcMar>
          </w:tcPr>
          <w:p>
            <w:pPr>
              <w:spacing w:before="0" w:after="80"/>
            </w:pPr>
            <w:r>
              <w:rPr>
                <w:rFonts w:ascii="Arial" w:cs="Arial" w:eastAsia="Arial" w:hAnsi="Arial"/>
                <w:b/>
                <w:bCs/>
                <w:color w:val="C0392B"/>
                <w:sz w:val="22"/>
                <w:szCs w:val="22"/>
              </w:rPr>
              <w:t xml:space="preserve">Root Cause</w:t>
            </w:r>
          </w:p>
          <w:p>
            <w:pPr>
              <w:spacing w:before="0" w:after="0"/>
            </w:pPr>
            <w:r>
              <w:rPr>
                <w:rFonts w:ascii="Arial" w:cs="Arial" w:eastAsia="Arial" w:hAnsi="Arial"/>
                <w:color w:val="374151"/>
                <w:sz w:val="20"/>
                <w:szCs w:val="20"/>
              </w:rPr>
              <w:t xml:space="preserve">The channel-creative mismatch is the real problem. Video content on social media generates curiosity clicks, not purchase intent. Budget allocation is optimised for visibility metrics (impressions, clicks) rather than conversion metrics (CVR, ROAS). Shifting even 25% of video budget to Google Search text ads could recover significant ROAS.</w:t>
            </w:r>
          </w:p>
        </w:tc>
      </w:tr>
    </w:tbl>
    <w:p>
      <w:pPr>
        <w:spacing w:before="80" w:after="80"/>
      </w:pPr>
    </w:p>
    <w:p>
      <w:pPr>
        <w:pStyle w:val="Heading2"/>
        <w:spacing w:before="240" w:after="120"/>
      </w:pPr>
      <w:r>
        <w:rPr>
          <w:rFonts w:ascii="Arial" w:cs="Arial" w:eastAsia="Arial" w:hAnsi="Arial"/>
          <w:b/>
          <w:bCs/>
          <w:color w:val="1B3A6B"/>
          <w:sz w:val="26"/>
          <w:szCs w:val="26"/>
        </w:rPr>
        <w:t xml:space="preserve">Recommendations</w:t>
      </w:r>
    </w:p>
    <w:p>
      <w:pPr>
        <w:pStyle w:val="ListParagraph"/>
        <w:numPr>
          <w:ilvl w:val="0"/>
          <w:numId w:val="2"/>
        </w:numPr>
        <w:spacing w:before="40" w:after="40"/>
      </w:pPr>
      <w:r>
        <w:rPr>
          <w:rFonts w:ascii="Arial" w:cs="Arial" w:eastAsia="Arial" w:hAnsi="Arial"/>
          <w:color w:val="374151"/>
          <w:sz w:val="22"/>
          <w:szCs w:val="22"/>
        </w:rPr>
        <w:t xml:space="preserve">Reduce video ad budget by 20-30% on conversion campaigns</w:t>
      </w:r>
    </w:p>
    <w:p>
      <w:pPr>
        <w:pStyle w:val="ListParagraph"/>
        <w:numPr>
          <w:ilvl w:val="0"/>
          <w:numId w:val="2"/>
        </w:numPr>
        <w:spacing w:before="40" w:after="40"/>
      </w:pPr>
      <w:r>
        <w:rPr>
          <w:rFonts w:ascii="Arial" w:cs="Arial" w:eastAsia="Arial" w:hAnsi="Arial"/>
          <w:color w:val="374151"/>
          <w:sz w:val="22"/>
          <w:szCs w:val="22"/>
        </w:rPr>
        <w:t xml:space="preserve">Reallocate to Google Search text ads which convert at 3x the rate</w:t>
      </w:r>
    </w:p>
    <w:p>
      <w:pPr>
        <w:pStyle w:val="ListParagraph"/>
        <w:numPr>
          <w:ilvl w:val="0"/>
          <w:numId w:val="2"/>
        </w:numPr>
        <w:spacing w:before="40" w:after="40"/>
      </w:pPr>
      <w:r>
        <w:rPr>
          <w:rFonts w:ascii="Arial" w:cs="Arial" w:eastAsia="Arial" w:hAnsi="Arial"/>
          <w:color w:val="374151"/>
          <w:sz w:val="22"/>
          <w:szCs w:val="22"/>
        </w:rPr>
        <w:t xml:space="preserve">Keep video for Brand Awareness campaign (CMP_102) where CVR is less critical</w:t>
      </w:r>
    </w:p>
    <w:p>
      <w:pPr>
        <w:pStyle w:val="ListParagraph"/>
        <w:numPr>
          <w:ilvl w:val="0"/>
          <w:numId w:val="2"/>
        </w:numPr>
        <w:spacing w:before="40" w:after="40"/>
      </w:pPr>
      <w:r>
        <w:rPr>
          <w:rFonts w:ascii="Arial" w:cs="Arial" w:eastAsia="Arial" w:hAnsi="Arial"/>
          <w:color w:val="374151"/>
          <w:sz w:val="22"/>
          <w:szCs w:val="22"/>
        </w:rPr>
        <w:t xml:space="preserve">A/B test strong CTA overlays on video to improve post-click intent</w:t>
      </w:r>
    </w:p>
    <w:p>
      <w:pPr>
        <w:spacing w:before="80" w:after="80"/>
      </w:pPr>
    </w:p>
    <w:p>
      <w:r>
        <w:br w:type="page"/>
      </w:r>
    </w:p>
    <w:p>
      <w:pPr>
        <w:pStyle w:val="Heading1"/>
        <w:spacing w:before="360" w:after="180"/>
      </w:pPr>
      <w:r>
        <w:rPr>
          <w:rFonts w:ascii="Arial" w:cs="Arial" w:eastAsia="Arial" w:hAnsi="Arial"/>
          <w:b/>
          <w:bCs/>
          <w:color w:val="0D1B3E"/>
          <w:sz w:val="32"/>
          <w:szCs w:val="32"/>
        </w:rPr>
        <w:t xml:space="preserve">5. Finding 2 - The CPC Cost Crisis</w:t>
      </w:r>
    </w:p>
    <w:p>
      <w:pPr>
        <w:pBdr>
          <w:bottom w:val="single" w:color="2563EB" w:sz="8" w:space="1"/>
        </w:pBdr>
        <w:spacing w:before="80" w:after="80"/>
      </w:pPr>
    </w:p>
    <w:p>
      <w:pPr>
        <w:pStyle w:val="Heading2"/>
        <w:spacing w:before="240" w:after="120"/>
      </w:pPr>
      <w:r>
        <w:rPr>
          <w:rFonts w:ascii="Arial" w:cs="Arial" w:eastAsia="Arial" w:hAnsi="Arial"/>
          <w:b/>
          <w:bCs/>
          <w:color w:val="1B3A6B"/>
          <w:sz w:val="26"/>
          <w:szCs w:val="26"/>
        </w:rPr>
        <w:t xml:space="preserve">The Question</w:t>
      </w:r>
    </w:p>
    <w:p>
      <w:pPr>
        <w:spacing w:before="60" w:after="80"/>
      </w:pPr>
      <w:r>
        <w:rPr>
          <w:rFonts w:ascii="Arial" w:cs="Arial" w:eastAsia="Arial" w:hAnsi="Arial"/>
          <w:color w:val="374151"/>
          <w:sz w:val="22"/>
          <w:szCs w:val="22"/>
        </w:rPr>
        <w:t xml:space="preserve">What is the exact financial impact of Google Search NonBrand CPCs spiking 50% due to competitor bidding wars?</w:t>
      </w:r>
    </w:p>
    <w:p>
      <w:pPr>
        <w:spacing w:before="80" w:after="80"/>
      </w:pPr>
    </w:p>
    <w:p>
      <w:pPr>
        <w:pStyle w:val="Heading2"/>
        <w:spacing w:before="240" w:after="120"/>
      </w:pPr>
      <w:r>
        <w:rPr>
          <w:rFonts w:ascii="Arial" w:cs="Arial" w:eastAsia="Arial" w:hAnsi="Arial"/>
          <w:b/>
          <w:bCs/>
          <w:color w:val="1B3A6B"/>
          <w:sz w:val="26"/>
          <w:szCs w:val="26"/>
        </w:rPr>
        <w:t xml:space="preserve">Impact Scenario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Metric</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Baseline (Pre-Spike)</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Current (Spiked +50%)</w:t>
            </w:r>
          </w:p>
        </w:tc>
        <w:tc>
          <w:tcPr>
            <w:tcW w:type="dxa" w:w="234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Impact</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Average NonBrand CPC</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~$2.24</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$3.36</w:t>
            </w:r>
          </w:p>
        </w:tc>
        <w:tc>
          <w:tcPr>
            <w:tcW w:type="dxa" w:w="234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+$1.12 per click</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NonBrand Spend</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Est. $4.56M</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$6.84M</w:t>
            </w:r>
          </w:p>
        </w:tc>
        <w:tc>
          <w:tcPr>
            <w:tcW w:type="dxa" w:w="234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$2.28M wasted</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Clicks at Same Budget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Est. 3.05M clicks</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2.03M clicks</w:t>
            </w:r>
          </w:p>
        </w:tc>
        <w:tc>
          <w:tcPr>
            <w:tcW w:type="dxa" w:w="234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- 33% fewer clicks</w:t>
            </w:r>
          </w:p>
        </w:tc>
      </w:tr>
      <w:tr>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Est. Lost Conversions</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Baseline: 0</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~17,600 conversions lost</w:t>
            </w:r>
          </w:p>
        </w:tc>
        <w:tc>
          <w:tcPr>
            <w:tcW w:type="dxa" w:w="234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At 1.73% NonBrand CVR</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Est. Lost Revenue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Baseline: 0</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~$2.11M revenue lost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At avg $120 order value</w:t>
            </w:r>
          </w:p>
        </w:tc>
      </w:tr>
    </w:tbl>
    <w:p>
      <w:pPr>
        <w:spacing w:before="80" w:after="80"/>
      </w:pPr>
    </w:p>
    <w:p>
      <w:pPr>
        <w:pStyle w:val="Heading2"/>
        <w:spacing w:before="240" w:after="120"/>
      </w:pPr>
      <w:r>
        <w:rPr>
          <w:rFonts w:ascii="Arial" w:cs="Arial" w:eastAsia="Arial" w:hAnsi="Arial"/>
          <w:b/>
          <w:bCs/>
          <w:color w:val="1B3A6B"/>
          <w:sz w:val="26"/>
          <w:szCs w:val="26"/>
        </w:rPr>
        <w:t xml:space="preserve">Monthly Google NonBrand CPC Trend (All 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Month</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Spend</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Clicks</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CPC</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vs Baseline</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Jan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$478,367</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140,697</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$3.40</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Feb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$391,222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114,579</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$3.41</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Mar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$502,690</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148,451</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+51%</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Apr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$450,234</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134,685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$3.34</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+49%</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May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$471,452</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143,986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$3.27</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+46%</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Jun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$424,030</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127,526</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$3.33</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+48%</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Jul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$455,128</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135,516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+50%</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Aug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$469,333</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141,197</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+48%</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Sep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$462,769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136,564</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+51%</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Oct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$469,063</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136,205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$3.44</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Nov 2025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$453,772</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134,240</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$3.38</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+51%</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Dec 2025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$470,709</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141,699</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+48%</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Jan 2026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$481,193</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144,195</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$3.34</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+49%</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Feb 2026</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$418,788</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124,645</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$3.36</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+50%</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Mar 2026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$436,570</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128,651</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$3.39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+51%</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ADBD8" w:val="clear"/>
            <w:tcMar>
              <w:top w:type="dxa" w:w="160"/>
              <w:left w:type="dxa" w:w="240"/>
              <w:bottom w:type="dxa" w:w="160"/>
              <w:right w:type="dxa" w:w="240"/>
            </w:tcMar>
          </w:tcPr>
          <w:p>
            <w:pPr>
              <w:spacing w:before="0" w:after="80"/>
            </w:pPr>
            <w:r>
              <w:rPr>
                <w:rFonts w:ascii="Arial" w:cs="Arial" w:eastAsia="Arial" w:hAnsi="Arial"/>
                <w:b/>
                <w:bCs/>
                <w:color w:val="C0392B"/>
                <w:sz w:val="22"/>
                <w:szCs w:val="22"/>
              </w:rPr>
              <w:t xml:space="preserve">Financial Summary</w:t>
            </w:r>
          </w:p>
          <w:p>
            <w:pPr>
              <w:spacing w:before="0" w:after="0"/>
            </w:pPr>
            <w:r>
              <w:rPr>
                <w:rFonts w:ascii="Arial" w:cs="Arial" w:eastAsia="Arial" w:hAnsi="Arial"/>
                <w:color w:val="374151"/>
                <w:sz w:val="20"/>
                <w:szCs w:val="20"/>
              </w:rPr>
              <w:t xml:space="preserve">The sustained 50% CPC spike on Google NonBrand has cost TechGadget Inc. an estimated $2.28M in excess spend over 15 months. This equates to approximately 17,600 lost conversions and $2.1M in lost revenue - purely from competitor-driven auction inflation, not business performance.</w:t>
            </w:r>
          </w:p>
        </w:tc>
      </w:tr>
    </w:tbl>
    <w:p>
      <w:pPr>
        <w:spacing w:before="80" w:after="80"/>
      </w:pPr>
    </w:p>
    <w:p>
      <w:pPr>
        <w:pStyle w:val="Heading2"/>
        <w:spacing w:before="240" w:after="120"/>
      </w:pPr>
      <w:r>
        <w:rPr>
          <w:rFonts w:ascii="Arial" w:cs="Arial" w:eastAsia="Arial" w:hAnsi="Arial"/>
          <w:b/>
          <w:bCs/>
          <w:color w:val="1B3A6B"/>
          <w:sz w:val="26"/>
          <w:szCs w:val="26"/>
        </w:rPr>
        <w:t xml:space="preserve">Recommendations</w:t>
      </w:r>
    </w:p>
    <w:p>
      <w:pPr>
        <w:pStyle w:val="ListParagraph"/>
        <w:numPr>
          <w:ilvl w:val="0"/>
          <w:numId w:val="2"/>
        </w:numPr>
        <w:spacing w:before="40" w:after="40"/>
      </w:pPr>
      <w:r>
        <w:rPr>
          <w:rFonts w:ascii="Arial" w:cs="Arial" w:eastAsia="Arial" w:hAnsi="Arial"/>
          <w:color w:val="374151"/>
          <w:sz w:val="22"/>
          <w:szCs w:val="22"/>
        </w:rPr>
        <w:t xml:space="preserve">Set maximum CPC bid cap of $2.50 on all Google NonBrand campaigns immediately</w:t>
      </w:r>
    </w:p>
    <w:p>
      <w:pPr>
        <w:pStyle w:val="ListParagraph"/>
        <w:numPr>
          <w:ilvl w:val="0"/>
          <w:numId w:val="2"/>
        </w:numPr>
        <w:spacing w:before="40" w:after="40"/>
      </w:pPr>
      <w:r>
        <w:rPr>
          <w:rFonts w:ascii="Arial" w:cs="Arial" w:eastAsia="Arial" w:hAnsi="Arial"/>
          <w:color w:val="374151"/>
          <w:sz w:val="22"/>
          <w:szCs w:val="22"/>
        </w:rPr>
        <w:t xml:space="preserve">Switch to Target CPA bidding - lets Google optimise within a profitability guardrail</w:t>
      </w:r>
    </w:p>
    <w:p>
      <w:pPr>
        <w:pStyle w:val="ListParagraph"/>
        <w:numPr>
          <w:ilvl w:val="0"/>
          <w:numId w:val="2"/>
        </w:numPr>
        <w:spacing w:before="40" w:after="40"/>
      </w:pPr>
      <w:r>
        <w:rPr>
          <w:rFonts w:ascii="Arial" w:cs="Arial" w:eastAsia="Arial" w:hAnsi="Arial"/>
          <w:color w:val="374151"/>
          <w:sz w:val="22"/>
          <w:szCs w:val="22"/>
        </w:rPr>
        <w:t xml:space="preserve">Review Auction Insights report weekly to monitor competitor activity</w:t>
      </w:r>
    </w:p>
    <w:p>
      <w:pPr>
        <w:pStyle w:val="ListParagraph"/>
        <w:numPr>
          <w:ilvl w:val="0"/>
          <w:numId w:val="2"/>
        </w:numPr>
        <w:spacing w:before="40" w:after="40"/>
      </w:pPr>
      <w:r>
        <w:rPr>
          <w:rFonts w:ascii="Arial" w:cs="Arial" w:eastAsia="Arial" w:hAnsi="Arial"/>
          <w:color w:val="374151"/>
          <w:sz w:val="22"/>
          <w:szCs w:val="22"/>
        </w:rPr>
        <w:t xml:space="preserve">Invest more in Brand Search (CPC $0.96) which is protected from competitor bidding</w:t>
      </w:r>
    </w:p>
    <w:p>
      <w:pPr>
        <w:spacing w:before="80" w:after="80"/>
      </w:pPr>
    </w:p>
    <w:p>
      <w:r>
        <w:br w:type="page"/>
      </w:r>
    </w:p>
    <w:p>
      <w:pPr>
        <w:pStyle w:val="Heading1"/>
        <w:spacing w:before="360" w:after="180"/>
      </w:pPr>
      <w:r>
        <w:rPr>
          <w:rFonts w:ascii="Arial" w:cs="Arial" w:eastAsia="Arial" w:hAnsi="Arial"/>
          <w:b/>
          <w:bCs/>
          <w:color w:val="0D1B3E"/>
          <w:sz w:val="32"/>
          <w:szCs w:val="32"/>
        </w:rPr>
        <w:t xml:space="preserve">6. Finding 3 - The ROAS Profitability Floor</w:t>
      </w:r>
    </w:p>
    <w:p>
      <w:pPr>
        <w:pBdr>
          <w:bottom w:val="single" w:color="2563EB" w:sz="8" w:space="1"/>
        </w:pBdr>
        <w:spacing w:before="80" w:after="80"/>
      </w:pPr>
    </w:p>
    <w:p>
      <w:pPr>
        <w:spacing w:before="60" w:after="80"/>
      </w:pPr>
      <w:r>
        <w:rPr>
          <w:rFonts w:ascii="Arial" w:cs="Arial" w:eastAsia="Arial" w:hAnsi="Arial"/>
          <w:color w:val="374151"/>
          <w:sz w:val="22"/>
          <w:szCs w:val="22"/>
        </w:rPr>
        <w:t xml:space="preserve">The absolute profitability minimum is 3.0x ROAS. Below this threshold - after accounting for cost of goods sold and operating margin - the campaign destroys value rather than creates it.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DEBD0" w:val="clear"/>
            <w:tcMar>
              <w:top w:type="dxa" w:w="160"/>
              <w:left w:type="dxa" w:w="240"/>
              <w:bottom w:type="dxa" w:w="160"/>
              <w:right w:type="dxa" w:w="240"/>
            </w:tcMar>
          </w:tcPr>
          <w:p>
            <w:pPr>
              <w:spacing w:before="0" w:after="80"/>
            </w:pPr>
            <w:r>
              <w:rPr>
                <w:rFonts w:ascii="Arial" w:cs="Arial" w:eastAsia="Arial" w:hAnsi="Arial"/>
                <w:b/>
                <w:bCs/>
                <w:color w:val="7D6608"/>
                <w:sz w:val="22"/>
                <w:szCs w:val="22"/>
              </w:rPr>
              <w:t xml:space="preserve">ROAS Floor Definition</w:t>
            </w:r>
          </w:p>
          <w:p>
            <w:pPr>
              <w:spacing w:before="0" w:after="0"/>
            </w:pPr>
            <w:r>
              <w:rPr>
                <w:rFonts w:ascii="Arial" w:cs="Arial" w:eastAsia="Arial" w:hAnsi="Arial"/>
                <w:color w:val="374151"/>
                <w:sz w:val="20"/>
                <w:szCs w:val="20"/>
              </w:rPr>
              <w:t xml:space="preserve">ROAS = Total Revenue / Total Ad Spend. At 3.0x ROAS, if average product margin is ~33%, the campaign exactly breaks even on all costs. Below 3.0x = every sale loses money. Above 3.0x = profitable growth. TechGadget current ROAS of 0.95x means the business is in deep deficit - spending $1 to earn $0.95.</w:t>
            </w:r>
          </w:p>
        </w:tc>
      </w:tr>
    </w:tbl>
    <w:p>
      <w:pPr>
        <w:spacing w:before="80" w:after="80"/>
      </w:pPr>
    </w:p>
    <w:p>
      <w:pPr>
        <w:pStyle w:val="Heading2"/>
        <w:spacing w:before="240" w:after="120"/>
      </w:pPr>
      <w:r>
        <w:rPr>
          <w:rFonts w:ascii="Arial" w:cs="Arial" w:eastAsia="Arial" w:hAnsi="Arial"/>
          <w:b/>
          <w:bCs/>
          <w:color w:val="1B3A6B"/>
          <w:sz w:val="26"/>
          <w:szCs w:val="26"/>
        </w:rPr>
        <w:t xml:space="preserve">Campaign ROAS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Campaign</w:t>
            </w:r>
          </w:p>
        </w:tc>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Spend</w:t>
            </w:r>
          </w:p>
        </w:tc>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Revenue</w:t>
            </w:r>
          </w:p>
        </w:tc>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Actual ROAS</w:t>
            </w:r>
          </w:p>
        </w:tc>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Target ROAS</w:t>
            </w:r>
          </w:p>
        </w:tc>
        <w:tc>
          <w:tcPr>
            <w:tcW w:type="dxa" w:w="156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Floor Status</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Spring Forward 2026</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$5.63M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$5.27M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0.94x</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3.0x</w:t>
            </w:r>
          </w:p>
        </w:tc>
        <w:tc>
          <w:tcPr>
            <w:tcW w:type="dxa" w:w="156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FAIL</w:t>
            </w:r>
          </w:p>
        </w:tc>
      </w:tr>
      <w:tr>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Brand Awareness Q1</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$5.46M</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$5.21M</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0.95x</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0.5x</w:t>
            </w:r>
          </w:p>
        </w:tc>
        <w:tc>
          <w:tcPr>
            <w:tcW w:type="dxa" w:w="1560"/>
            <w:tcBorders>
              <w:top w:val="single" w:color="CCCCCC" w:sz="1"/>
              <w:left w:val="single" w:color="CCCCCC" w:sz="1"/>
              <w:bottom w:val="single" w:color="CCCCCC" w:sz="1"/>
              <w:right w:val="single" w:color="CCCCCC" w:sz="1"/>
            </w:tcBorders>
            <w:shd w:fill="D5F5E3" w:val="clear"/>
            <w:tcMar>
              <w:top w:type="dxa" w:w="100"/>
              <w:left w:type="dxa" w:w="150"/>
              <w:bottom w:type="dxa" w:w="100"/>
              <w:right w:type="dxa" w:w="150"/>
            </w:tcMar>
          </w:tcPr>
          <w:p>
            <w:pPr>
              <w:jc w:val="center"/>
            </w:pPr>
            <w:r>
              <w:rPr>
                <w:rFonts w:ascii="Arial" w:cs="Arial" w:eastAsia="Arial" w:hAnsi="Arial"/>
                <w:b/>
                <w:bCs/>
                <w:color w:val="1A5C2E"/>
                <w:sz w:val="20"/>
                <w:szCs w:val="20"/>
              </w:rPr>
              <w:t xml:space="preserve">PASS (vs own target)</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Cart Abandonment</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$5.40M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$5.19M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0.96x</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5.0x</w:t>
            </w:r>
          </w:p>
        </w:tc>
        <w:tc>
          <w:tcPr>
            <w:tcW w:type="dxa" w:w="156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FAIL</w:t>
            </w:r>
          </w:p>
        </w:tc>
      </w:tr>
      <w:tr>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Summer Blowout Promo</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$5.71M</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$5.34M</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0.94x</w:t>
            </w:r>
          </w:p>
        </w:tc>
        <w:tc>
          <w:tcPr>
            <w:tcW w:type="dxa" w:w="156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3.0x</w:t>
            </w:r>
          </w:p>
        </w:tc>
        <w:tc>
          <w:tcPr>
            <w:tcW w:type="dxa" w:w="156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FAIL</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Newsletter Reactivation</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$5.46M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$5.25M</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0.96x</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3.0x</w:t>
            </w:r>
          </w:p>
        </w:tc>
        <w:tc>
          <w:tcPr>
            <w:tcW w:type="dxa" w:w="156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CRITICAL - FAIL</w:t>
            </w:r>
          </w:p>
        </w:tc>
      </w:tr>
    </w:tbl>
    <w:p>
      <w:pPr>
        <w:spacing w:before="80" w:after="80"/>
      </w:pPr>
    </w:p>
    <w:p>
      <w:pPr>
        <w:pStyle w:val="Heading2"/>
        <w:spacing w:before="240" w:after="120"/>
      </w:pPr>
      <w:r>
        <w:rPr>
          <w:rFonts w:ascii="Arial" w:cs="Arial" w:eastAsia="Arial" w:hAnsi="Arial"/>
          <w:b/>
          <w:bCs/>
          <w:color w:val="1B3A6B"/>
          <w:sz w:val="26"/>
          <w:szCs w:val="26"/>
        </w:rPr>
        <w:t xml:space="preserve">Recovery Scenarios - What It Takes to Hit 3.0x ROAS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Campaign</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Current ROAS</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Option A: Cut Spend To</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Option B: Grow Revenue To</w:t>
            </w:r>
          </w:p>
        </w:tc>
        <w:tc>
          <w:tcPr>
            <w:tcW w:type="dxa" w:w="1872"/>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Revenue Gap</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Spring Forward 2026</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0.94x</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$1.76M (-69%)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$16.89M (+220%)</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+$11.62M needed</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Cart Abandonment</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0.96x</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$1.73M (-68%)</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$16.21M (+213%)</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+$11.03M needed</w:t>
            </w:r>
          </w:p>
        </w:tc>
      </w:tr>
      <w:tr>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Summer Blowout Promo</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0.94x</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$1.78M (-69%)</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$17.13M (+221%)</w:t>
            </w:r>
          </w:p>
        </w:tc>
        <w:tc>
          <w:tcPr>
            <w:tcW w:type="dxa" w:w="1872"/>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+$11.79M needed</w:t>
            </w:r>
          </w:p>
        </w:tc>
      </w:tr>
      <w:tr>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Newsletter Reactivation</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0.96x</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$1.75M (-68%)</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$16.38M (+212%)</w:t>
            </w:r>
          </w:p>
        </w:tc>
        <w:tc>
          <w:tcPr>
            <w:tcW w:type="dxa" w:w="1872"/>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+$11.12M needed</w:t>
            </w:r>
          </w:p>
        </w:tc>
      </w:tr>
    </w:tbl>
    <w:p>
      <w:pPr>
        <w:spacing w:before="80" w:after="80"/>
      </w:pPr>
    </w:p>
    <w:p>
      <w:pPr>
        <w:pStyle w:val="Heading2"/>
        <w:spacing w:before="240" w:after="120"/>
      </w:pPr>
      <w:r>
        <w:rPr>
          <w:rFonts w:ascii="Arial" w:cs="Arial" w:eastAsia="Arial" w:hAnsi="Arial"/>
          <w:b/>
          <w:bCs/>
          <w:color w:val="1B3A6B"/>
          <w:sz w:val="26"/>
          <w:szCs w:val="26"/>
        </w:rPr>
        <w:t xml:space="preserve">Recommendations</w:t>
      </w:r>
    </w:p>
    <w:p>
      <w:pPr>
        <w:pStyle w:val="ListParagraph"/>
        <w:numPr>
          <w:ilvl w:val="0"/>
          <w:numId w:val="2"/>
        </w:numPr>
        <w:spacing w:before="40" w:after="40"/>
      </w:pPr>
      <w:r>
        <w:rPr>
          <w:rFonts w:ascii="Arial" w:cs="Arial" w:eastAsia="Arial" w:hAnsi="Arial"/>
          <w:color w:val="374151"/>
          <w:sz w:val="22"/>
          <w:szCs w:val="22"/>
        </w:rPr>
        <w:t xml:space="preserve">Immediately pause all campaigns with ROAS below 1.0x - no campaign should run at a loss</w:t>
      </w:r>
    </w:p>
    <w:p>
      <w:pPr>
        <w:pStyle w:val="ListParagraph"/>
        <w:numPr>
          <w:ilvl w:val="0"/>
          <w:numId w:val="2"/>
        </w:numPr>
        <w:spacing w:before="40" w:after="40"/>
      </w:pPr>
      <w:r>
        <w:rPr>
          <w:rFonts w:ascii="Arial" w:cs="Arial" w:eastAsia="Arial" w:hAnsi="Arial"/>
          <w:color w:val="374151"/>
          <w:sz w:val="22"/>
          <w:szCs w:val="22"/>
        </w:rPr>
        <w:t xml:space="preserve">Set automated ROAS floor alerts in Power BI - trigger when campaign drops below 2.5x</w:t>
      </w:r>
    </w:p>
    <w:p>
      <w:pPr>
        <w:pStyle w:val="ListParagraph"/>
        <w:numPr>
          <w:ilvl w:val="0"/>
          <w:numId w:val="2"/>
        </w:numPr>
        <w:spacing w:before="40" w:after="40"/>
      </w:pPr>
      <w:r>
        <w:rPr>
          <w:rFonts w:ascii="Arial" w:cs="Arial" w:eastAsia="Arial" w:hAnsi="Arial"/>
          <w:color w:val="374151"/>
          <w:sz w:val="22"/>
          <w:szCs w:val="22"/>
        </w:rPr>
        <w:t xml:space="preserve">Prioritise Cart Abandonment (CMP_103) for restructuring - retargeting warm leads has highest CVR potential</w:t>
      </w:r>
    </w:p>
    <w:p>
      <w:pPr>
        <w:pStyle w:val="ListParagraph"/>
        <w:numPr>
          <w:ilvl w:val="0"/>
          <w:numId w:val="2"/>
        </w:numPr>
        <w:spacing w:before="40" w:after="40"/>
      </w:pPr>
      <w:r>
        <w:rPr>
          <w:rFonts w:ascii="Arial" w:cs="Arial" w:eastAsia="Arial" w:hAnsi="Arial"/>
          <w:color w:val="374151"/>
          <w:sz w:val="22"/>
          <w:szCs w:val="22"/>
        </w:rPr>
        <w:t xml:space="preserve">Do not scale any campaign until ROAS holds above 3.0x at smaller test budgets</w:t>
      </w:r>
    </w:p>
    <w:p>
      <w:pPr>
        <w:spacing w:before="80" w:after="80"/>
      </w:pPr>
    </w:p>
    <w:p>
      <w:r>
        <w:br w:type="page"/>
      </w:r>
    </w:p>
    <w:p>
      <w:pPr>
        <w:pStyle w:val="Heading1"/>
        <w:spacing w:before="360" w:after="180"/>
      </w:pPr>
      <w:r>
        <w:rPr>
          <w:rFonts w:ascii="Arial" w:cs="Arial" w:eastAsia="Arial" w:hAnsi="Arial"/>
          <w:b/>
          <w:bCs/>
          <w:color w:val="0D1B3E"/>
          <w:sz w:val="32"/>
          <w:szCs w:val="32"/>
        </w:rPr>
        <w:t xml:space="preserve">7. Step-by-Step: How This Project Was Built</w:t>
      </w:r>
    </w:p>
    <w:p>
      <w:pPr>
        <w:pBdr>
          <w:bottom w:val="single" w:color="2563EB" w:sz="8" w:space="1"/>
        </w:pBdr>
        <w:spacing w:before="80" w:after="80"/>
      </w:pPr>
    </w:p>
    <w:p>
      <w:pPr>
        <w:pStyle w:val="Heading2"/>
        <w:spacing w:before="240" w:after="120"/>
      </w:pPr>
      <w:r>
        <w:rPr>
          <w:rFonts w:ascii="Arial" w:cs="Arial" w:eastAsia="Arial" w:hAnsi="Arial"/>
          <w:b/>
          <w:bCs/>
          <w:color w:val="1B3A6B"/>
          <w:sz w:val="26"/>
          <w:szCs w:val="26"/>
        </w:rPr>
        <w:t xml:space="preserve">Step 1 - Understanding the Business Problem</w:t>
      </w:r>
    </w:p>
    <w:p>
      <w:pPr>
        <w:pStyle w:val="ListParagraph"/>
        <w:numPr>
          <w:ilvl w:val="0"/>
          <w:numId w:val="2"/>
        </w:numPr>
        <w:spacing w:before="40" w:after="40"/>
      </w:pPr>
      <w:r>
        <w:rPr>
          <w:rFonts w:ascii="Arial" w:cs="Arial" w:eastAsia="Arial" w:hAnsi="Arial"/>
          <w:color w:val="374151"/>
          <w:sz w:val="22"/>
          <w:szCs w:val="22"/>
        </w:rPr>
        <w:t xml:space="preserve">Read the executive briefing transcript (CMO, CFO, Lead Analyst meeting notes)</w:t>
      </w:r>
    </w:p>
    <w:p>
      <w:pPr>
        <w:pStyle w:val="ListParagraph"/>
        <w:numPr>
          <w:ilvl w:val="0"/>
          <w:numId w:val="2"/>
        </w:numPr>
        <w:spacing w:before="40" w:after="40"/>
      </w:pPr>
      <w:r>
        <w:rPr>
          <w:rFonts w:ascii="Arial" w:cs="Arial" w:eastAsia="Arial" w:hAnsi="Arial"/>
          <w:color w:val="374151"/>
          <w:sz w:val="22"/>
          <w:szCs w:val="22"/>
        </w:rPr>
        <w:t xml:space="preserve">Studied the business knowledge cheat sheet covering all marketing KPI definitions</w:t>
      </w:r>
    </w:p>
    <w:p>
      <w:pPr>
        <w:pStyle w:val="ListParagraph"/>
        <w:numPr>
          <w:ilvl w:val="0"/>
          <w:numId w:val="2"/>
        </w:numPr>
        <w:spacing w:before="40" w:after="40"/>
      </w:pPr>
      <w:r>
        <w:rPr>
          <w:rFonts w:ascii="Arial" w:cs="Arial" w:eastAsia="Arial" w:hAnsi="Arial"/>
          <w:color w:val="374151"/>
          <w:sz w:val="22"/>
          <w:szCs w:val="22"/>
        </w:rPr>
        <w:t xml:space="preserve">Identified the three core problems: Creative Mystery, CPC Crisis, ROAS Floor</w:t>
      </w:r>
    </w:p>
    <w:p>
      <w:pPr>
        <w:pStyle w:val="ListParagraph"/>
        <w:numPr>
          <w:ilvl w:val="0"/>
          <w:numId w:val="2"/>
        </w:numPr>
        <w:spacing w:before="40" w:after="40"/>
      </w:pPr>
      <w:r>
        <w:rPr>
          <w:rFonts w:ascii="Arial" w:cs="Arial" w:eastAsia="Arial" w:hAnsi="Arial"/>
          <w:color w:val="374151"/>
          <w:sz w:val="22"/>
          <w:szCs w:val="22"/>
        </w:rPr>
        <w:t xml:space="preserve">Mapped out required outputs: Excel workbook, Power BI dashboard, documentation</w:t>
      </w:r>
    </w:p>
    <w:p>
      <w:pPr>
        <w:spacing w:before="80" w:after="80"/>
      </w:pPr>
    </w:p>
    <w:p>
      <w:pPr>
        <w:pStyle w:val="Heading2"/>
        <w:spacing w:before="240" w:after="120"/>
      </w:pPr>
      <w:r>
        <w:rPr>
          <w:rFonts w:ascii="Arial" w:cs="Arial" w:eastAsia="Arial" w:hAnsi="Arial"/>
          <w:b/>
          <w:bCs/>
          <w:color w:val="1B3A6B"/>
          <w:sz w:val="26"/>
          <w:szCs w:val="26"/>
        </w:rPr>
        <w:t xml:space="preserve">Step 2 - Data Exploration and Schema Design</w:t>
      </w:r>
    </w:p>
    <w:p>
      <w:pPr>
        <w:pStyle w:val="ListParagraph"/>
        <w:numPr>
          <w:ilvl w:val="0"/>
          <w:numId w:val="2"/>
        </w:numPr>
        <w:spacing w:before="40" w:after="40"/>
      </w:pPr>
      <w:r>
        <w:rPr>
          <w:rFonts w:ascii="Arial" w:cs="Arial" w:eastAsia="Arial" w:hAnsi="Arial"/>
          <w:color w:val="374151"/>
          <w:sz w:val="22"/>
          <w:szCs w:val="22"/>
        </w:rPr>
        <w:t xml:space="preserve">Loaded all 7 CSV files using Python pandas library</w:t>
      </w:r>
    </w:p>
    <w:p>
      <w:pPr>
        <w:pStyle w:val="ListParagraph"/>
        <w:numPr>
          <w:ilvl w:val="0"/>
          <w:numId w:val="2"/>
        </w:numPr>
        <w:spacing w:before="40" w:after="40"/>
      </w:pPr>
      <w:r>
        <w:rPr>
          <w:rFonts w:ascii="Arial" w:cs="Arial" w:eastAsia="Arial" w:hAnsi="Arial"/>
          <w:color w:val="374151"/>
          <w:sz w:val="22"/>
          <w:szCs w:val="22"/>
        </w:rPr>
        <w:t xml:space="preserve">Inspected shapes: 31,297 performance rows and 218,793 conversion transactions</w:t>
      </w:r>
    </w:p>
    <w:p>
      <w:pPr>
        <w:pStyle w:val="ListParagraph"/>
        <w:numPr>
          <w:ilvl w:val="0"/>
          <w:numId w:val="2"/>
        </w:numPr>
        <w:spacing w:before="40" w:after="40"/>
      </w:pPr>
      <w:r>
        <w:rPr>
          <w:rFonts w:ascii="Arial" w:cs="Arial" w:eastAsia="Arial" w:hAnsi="Arial"/>
          <w:color w:val="374151"/>
          <w:sz w:val="22"/>
          <w:szCs w:val="22"/>
        </w:rPr>
        <w:t xml:space="preserve">Mapped all primary and foreign key relationships across both fact tables</w:t>
      </w:r>
    </w:p>
    <w:p>
      <w:pPr>
        <w:pStyle w:val="ListParagraph"/>
        <w:numPr>
          <w:ilvl w:val="0"/>
          <w:numId w:val="2"/>
        </w:numPr>
        <w:spacing w:before="40" w:after="40"/>
      </w:pPr>
      <w:r>
        <w:rPr>
          <w:rFonts w:ascii="Arial" w:cs="Arial" w:eastAsia="Arial" w:hAnsi="Arial"/>
          <w:color w:val="374151"/>
          <w:sz w:val="22"/>
          <w:szCs w:val="22"/>
        </w:rPr>
        <w:t xml:space="preserve">Designed the star schema for Power BI and Excel analytical model</w:t>
      </w:r>
    </w:p>
    <w:p>
      <w:pPr>
        <w:pStyle w:val="ListParagraph"/>
        <w:numPr>
          <w:ilvl w:val="0"/>
          <w:numId w:val="2"/>
        </w:numPr>
        <w:spacing w:before="40" w:after="40"/>
      </w:pPr>
      <w:r>
        <w:rPr>
          <w:rFonts w:ascii="Arial" w:cs="Arial" w:eastAsia="Arial" w:hAnsi="Arial"/>
          <w:color w:val="374151"/>
          <w:sz w:val="22"/>
          <w:szCs w:val="22"/>
        </w:rPr>
        <w:t xml:space="preserve">Identified that creative_id does not exist in fact_conversions - required spend-proportional allocation</w:t>
      </w:r>
    </w:p>
    <w:p>
      <w:pPr>
        <w:spacing w:before="80" w:after="80"/>
      </w:pPr>
    </w:p>
    <w:p>
      <w:pPr>
        <w:pStyle w:val="Heading2"/>
        <w:spacing w:before="240" w:after="120"/>
      </w:pPr>
      <w:r>
        <w:rPr>
          <w:rFonts w:ascii="Arial" w:cs="Arial" w:eastAsia="Arial" w:hAnsi="Arial"/>
          <w:b/>
          <w:bCs/>
          <w:color w:val="1B3A6B"/>
          <w:sz w:val="26"/>
          <w:szCs w:val="26"/>
        </w:rPr>
        <w:t xml:space="preserve">Step 3 - KPI Engineering with Python</w:t>
      </w:r>
    </w:p>
    <w:p>
      <w:pPr>
        <w:pStyle w:val="ListParagraph"/>
        <w:numPr>
          <w:ilvl w:val="0"/>
          <w:numId w:val="2"/>
        </w:numPr>
        <w:spacing w:before="40" w:after="40"/>
      </w:pPr>
      <w:r>
        <w:rPr>
          <w:rFonts w:ascii="Arial" w:cs="Arial" w:eastAsia="Arial" w:hAnsi="Arial"/>
          <w:color w:val="374151"/>
          <w:sz w:val="22"/>
          <w:szCs w:val="22"/>
        </w:rPr>
        <w:t xml:space="preserve">Aggregated fact_marketing_performance by campaign, channel, creative using groupby</w:t>
      </w:r>
    </w:p>
    <w:p>
      <w:pPr>
        <w:pStyle w:val="ListParagraph"/>
        <w:numPr>
          <w:ilvl w:val="0"/>
          <w:numId w:val="2"/>
        </w:numPr>
        <w:spacing w:before="40" w:after="40"/>
      </w:pPr>
      <w:r>
        <w:rPr>
          <w:rFonts w:ascii="Arial" w:cs="Arial" w:eastAsia="Arial" w:hAnsi="Arial"/>
          <w:color w:val="374151"/>
          <w:sz w:val="22"/>
          <w:szCs w:val="22"/>
        </w:rPr>
        <w:t xml:space="preserve">Aggregated fact_conversions by campaign and channel</w:t>
      </w:r>
    </w:p>
    <w:p>
      <w:pPr>
        <w:pStyle w:val="ListParagraph"/>
        <w:numPr>
          <w:ilvl w:val="0"/>
          <w:numId w:val="2"/>
        </w:numPr>
        <w:spacing w:before="40" w:after="40"/>
      </w:pPr>
      <w:r>
        <w:rPr>
          <w:rFonts w:ascii="Arial" w:cs="Arial" w:eastAsia="Arial" w:hAnsi="Arial"/>
          <w:color w:val="374151"/>
          <w:sz w:val="22"/>
          <w:szCs w:val="22"/>
        </w:rPr>
        <w:t xml:space="preserve">Implemented spend-proportional allocation for creative-level conversion attribution</w:t>
      </w:r>
    </w:p>
    <w:p>
      <w:pPr>
        <w:pStyle w:val="ListParagraph"/>
        <w:numPr>
          <w:ilvl w:val="0"/>
          <w:numId w:val="2"/>
        </w:numPr>
        <w:spacing w:before="40" w:after="40"/>
      </w:pPr>
      <w:r>
        <w:rPr>
          <w:rFonts w:ascii="Arial" w:cs="Arial" w:eastAsia="Arial" w:hAnsi="Arial"/>
          <w:color w:val="374151"/>
          <w:sz w:val="22"/>
          <w:szCs w:val="22"/>
        </w:rPr>
        <w:t xml:space="preserve">Calculated all 5 KPIs (CTR, CVR, CPC, CPA, ROAS) at every dimension level</w:t>
      </w:r>
    </w:p>
    <w:p>
      <w:pPr>
        <w:pStyle w:val="ListParagraph"/>
        <w:numPr>
          <w:ilvl w:val="0"/>
          <w:numId w:val="2"/>
        </w:numPr>
        <w:spacing w:before="40" w:after="40"/>
      </w:pPr>
      <w:r>
        <w:rPr>
          <w:rFonts w:ascii="Arial" w:cs="Arial" w:eastAsia="Arial" w:hAnsi="Arial"/>
          <w:color w:val="374151"/>
          <w:sz w:val="22"/>
          <w:szCs w:val="22"/>
        </w:rPr>
        <w:t xml:space="preserve">Built monthly trend time series across all 15 months</w:t>
      </w:r>
    </w:p>
    <w:p>
      <w:pPr>
        <w:pStyle w:val="ListParagraph"/>
        <w:numPr>
          <w:ilvl w:val="0"/>
          <w:numId w:val="2"/>
        </w:numPr>
        <w:spacing w:before="40" w:after="40"/>
      </w:pPr>
      <w:r>
        <w:rPr>
          <w:rFonts w:ascii="Arial" w:cs="Arial" w:eastAsia="Arial" w:hAnsi="Arial"/>
          <w:color w:val="374151"/>
          <w:sz w:val="22"/>
          <w:szCs w:val="22"/>
        </w:rPr>
        <w:t xml:space="preserve">Isolated Google NonBrand to quantify the CPC spike month by month</w:t>
      </w:r>
    </w:p>
    <w:p>
      <w:pPr>
        <w:spacing w:before="80" w:after="80"/>
      </w:pPr>
    </w:p>
    <w:p>
      <w:pPr>
        <w:pStyle w:val="Heading2"/>
        <w:spacing w:before="240" w:after="120"/>
      </w:pPr>
      <w:r>
        <w:rPr>
          <w:rFonts w:ascii="Arial" w:cs="Arial" w:eastAsia="Arial" w:hAnsi="Arial"/>
          <w:b/>
          <w:bCs/>
          <w:color w:val="1B3A6B"/>
          <w:sz w:val="26"/>
          <w:szCs w:val="26"/>
        </w:rPr>
        <w:t xml:space="preserve">Step 4 - Excel Workbook (7 Sheets)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Sheet Name</w:t>
            </w:r>
          </w:p>
        </w:tc>
        <w:tc>
          <w:tcPr>
            <w:tcW w:type="dxa" w:w="468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Contents and Purpose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Executive Dashboard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KPI scorecards, campaign summary table, ROAS alert banner, channel breakdown</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Creative Mystery</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Format comparison table, CVR vs CTR by format, root cause findings callouts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CPC Cost Crisis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Scenario impact analysis, monthly NonBrand CPC tracker with status flags</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 Floor Tracker</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Campaign breach status, recovery scenario modeling (cut spend vs grow revenue)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KPI Formulas Reference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All 5 KPI definitions, formulas, TechGadget values, industry benchmarks</w:t>
            </w:r>
          </w:p>
        </w:tc>
      </w:tr>
      <w:tr>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Raw Data - Performance</w:t>
            </w:r>
          </w:p>
        </w:tc>
        <w:tc>
          <w:tcPr>
            <w:tcW w:type="dxa" w:w="468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Full granular data with all KPIs per campaign x channel x creative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Monthly Trends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15-month aggregated trends: spend, revenue, CTR, CVR, CPC, ROAS</w:t>
            </w:r>
          </w:p>
        </w:tc>
      </w:tr>
    </w:tbl>
    <w:p>
      <w:pPr>
        <w:spacing w:before="80" w:after="80"/>
      </w:pPr>
    </w:p>
    <w:p>
      <w:pPr>
        <w:pStyle w:val="Heading2"/>
        <w:spacing w:before="240" w:after="120"/>
      </w:pPr>
      <w:r>
        <w:rPr>
          <w:rFonts w:ascii="Arial" w:cs="Arial" w:eastAsia="Arial" w:hAnsi="Arial"/>
          <w:b/>
          <w:bCs/>
          <w:color w:val="1B3A6B"/>
          <w:sz w:val="26"/>
          <w:szCs w:val="26"/>
        </w:rPr>
        <w:t xml:space="preserve">Step 5 - Power BI Dashboard (4 Pages)</w:t>
      </w:r>
    </w:p>
    <w:p>
      <w:pPr>
        <w:pStyle w:val="ListParagraph"/>
        <w:numPr>
          <w:ilvl w:val="0"/>
          <w:numId w:val="2"/>
        </w:numPr>
        <w:spacing w:before="40" w:after="40"/>
      </w:pPr>
      <w:r>
        <w:rPr>
          <w:rFonts w:ascii="Arial" w:cs="Arial" w:eastAsia="Arial" w:hAnsi="Arial"/>
          <w:color w:val="374151"/>
          <w:sz w:val="22"/>
          <w:szCs w:val="22"/>
        </w:rPr>
        <w:t xml:space="preserve">Loaded all 7 CSV files into Power BI Desktop via Get Data</w:t>
      </w:r>
    </w:p>
    <w:p>
      <w:pPr>
        <w:pStyle w:val="ListParagraph"/>
        <w:numPr>
          <w:ilvl w:val="0"/>
          <w:numId w:val="2"/>
        </w:numPr>
        <w:spacing w:before="40" w:after="40"/>
      </w:pPr>
      <w:r>
        <w:rPr>
          <w:rFonts w:ascii="Arial" w:cs="Arial" w:eastAsia="Arial" w:hAnsi="Arial"/>
          <w:color w:val="374151"/>
          <w:sz w:val="22"/>
          <w:szCs w:val="22"/>
        </w:rPr>
        <w:t xml:space="preserve">Built star schema in Model View with 8 relationships across 7 tables</w:t>
      </w:r>
    </w:p>
    <w:p>
      <w:pPr>
        <w:pStyle w:val="ListParagraph"/>
        <w:numPr>
          <w:ilvl w:val="0"/>
          <w:numId w:val="2"/>
        </w:numPr>
        <w:spacing w:before="40" w:after="40"/>
      </w:pPr>
      <w:r>
        <w:rPr>
          <w:rFonts w:ascii="Arial" w:cs="Arial" w:eastAsia="Arial" w:hAnsi="Arial"/>
          <w:color w:val="374151"/>
          <w:sz w:val="22"/>
          <w:szCs w:val="22"/>
        </w:rPr>
        <w:t xml:space="preserve">Created 12 DAX measures in a dedicated _Measures table</w:t>
      </w:r>
    </w:p>
    <w:p>
      <w:pPr>
        <w:pStyle w:val="ListParagraph"/>
        <w:numPr>
          <w:ilvl w:val="0"/>
          <w:numId w:val="2"/>
        </w:numPr>
        <w:spacing w:before="40" w:after="40"/>
      </w:pPr>
      <w:r>
        <w:rPr>
          <w:rFonts w:ascii="Arial" w:cs="Arial" w:eastAsia="Arial" w:hAnsi="Arial"/>
          <w:color w:val="374151"/>
          <w:sz w:val="22"/>
          <w:szCs w:val="22"/>
        </w:rPr>
        <w:t xml:space="preserve">Page 1 - Executive Overview: KPI cards, revenue vs spend bar chart, campaign status table</w:t>
      </w:r>
    </w:p>
    <w:p>
      <w:pPr>
        <w:pStyle w:val="ListParagraph"/>
        <w:numPr>
          <w:ilvl w:val="0"/>
          <w:numId w:val="2"/>
        </w:numPr>
        <w:spacing w:before="40" w:after="40"/>
      </w:pPr>
      <w:r>
        <w:rPr>
          <w:rFonts w:ascii="Arial" w:cs="Arial" w:eastAsia="Arial" w:hAnsi="Arial"/>
          <w:color w:val="374151"/>
          <w:sz w:val="22"/>
          <w:szCs w:val="22"/>
        </w:rPr>
        <w:t xml:space="preserve">Page 2 - Creative Mystery: CTR vs CVR bar charts, scatter plot by format</w:t>
      </w:r>
    </w:p>
    <w:p>
      <w:pPr>
        <w:pStyle w:val="ListParagraph"/>
        <w:numPr>
          <w:ilvl w:val="0"/>
          <w:numId w:val="2"/>
        </w:numPr>
        <w:spacing w:before="40" w:after="40"/>
      </w:pPr>
      <w:r>
        <w:rPr>
          <w:rFonts w:ascii="Arial" w:cs="Arial" w:eastAsia="Arial" w:hAnsi="Arial"/>
          <w:color w:val="374151"/>
          <w:sz w:val="22"/>
          <w:szCs w:val="22"/>
        </w:rPr>
        <w:t xml:space="preserve">Page 3 - CPC Crisis: Monthly trend line for NonBrand CPC, channel comparison</w:t>
      </w:r>
    </w:p>
    <w:p>
      <w:pPr>
        <w:pStyle w:val="ListParagraph"/>
        <w:numPr>
          <w:ilvl w:val="0"/>
          <w:numId w:val="2"/>
        </w:numPr>
        <w:spacing w:before="40" w:after="40"/>
      </w:pPr>
      <w:r>
        <w:rPr>
          <w:rFonts w:ascii="Arial" w:cs="Arial" w:eastAsia="Arial" w:hAnsi="Arial"/>
          <w:color w:val="374151"/>
          <w:sz w:val="22"/>
          <w:szCs w:val="22"/>
        </w:rPr>
        <w:t xml:space="preserve">Page 4 - ROAS Floor Tracker: Gauge chart, campaign breach table, 3.0x reference line</w:t>
      </w:r>
    </w:p>
    <w:p>
      <w:pPr>
        <w:pStyle w:val="ListParagraph"/>
        <w:numPr>
          <w:ilvl w:val="0"/>
          <w:numId w:val="2"/>
        </w:numPr>
        <w:spacing w:before="40" w:after="40"/>
      </w:pPr>
      <w:r>
        <w:rPr>
          <w:rFonts w:ascii="Arial" w:cs="Arial" w:eastAsia="Arial" w:hAnsi="Arial"/>
          <w:color w:val="374151"/>
          <w:sz w:val="22"/>
          <w:szCs w:val="22"/>
        </w:rPr>
        <w:t xml:space="preserve">Applied conditional formatting: red for below-floor, green for above, amber for warning</w:t>
      </w:r>
    </w:p>
    <w:p>
      <w:pPr>
        <w:spacing w:before="80" w:after="80"/>
      </w:pPr>
    </w:p>
    <w:p>
      <w:pPr>
        <w:pStyle w:val="Heading2"/>
        <w:spacing w:before="240" w:after="120"/>
      </w:pPr>
      <w:r>
        <w:rPr>
          <w:rFonts w:ascii="Arial" w:cs="Arial" w:eastAsia="Arial" w:hAnsi="Arial"/>
          <w:b/>
          <w:bCs/>
          <w:color w:val="1B3A6B"/>
          <w:sz w:val="26"/>
          <w:szCs w:val="26"/>
        </w:rPr>
        <w:t xml:space="preserve">Step 6 - Insights and Recommendations</w:t>
      </w:r>
    </w:p>
    <w:p>
      <w:pPr>
        <w:pStyle w:val="ListParagraph"/>
        <w:numPr>
          <w:ilvl w:val="0"/>
          <w:numId w:val="2"/>
        </w:numPr>
        <w:spacing w:before="40" w:after="40"/>
      </w:pPr>
      <w:r>
        <w:rPr>
          <w:rFonts w:ascii="Arial" w:cs="Arial" w:eastAsia="Arial" w:hAnsi="Arial"/>
          <w:color w:val="374151"/>
          <w:sz w:val="22"/>
          <w:szCs w:val="22"/>
        </w:rPr>
        <w:t xml:space="preserve">Synthesised all findings into three executive-level narratives with financial quantification</w:t>
      </w:r>
    </w:p>
    <w:p>
      <w:pPr>
        <w:pStyle w:val="ListParagraph"/>
        <w:numPr>
          <w:ilvl w:val="0"/>
          <w:numId w:val="2"/>
        </w:numPr>
        <w:spacing w:before="40" w:after="40"/>
      </w:pPr>
      <w:r>
        <w:rPr>
          <w:rFonts w:ascii="Arial" w:cs="Arial" w:eastAsia="Arial" w:hAnsi="Arial"/>
          <w:color w:val="374151"/>
          <w:sz w:val="22"/>
          <w:szCs w:val="22"/>
        </w:rPr>
        <w:t xml:space="preserve">Built recovery scenario tables showing exact spend cuts or revenue growth required</w:t>
      </w:r>
    </w:p>
    <w:p>
      <w:pPr>
        <w:pStyle w:val="ListParagraph"/>
        <w:numPr>
          <w:ilvl w:val="0"/>
          <w:numId w:val="2"/>
        </w:numPr>
        <w:spacing w:before="40" w:after="40"/>
      </w:pPr>
      <w:r>
        <w:rPr>
          <w:rFonts w:ascii="Arial" w:cs="Arial" w:eastAsia="Arial" w:hAnsi="Arial"/>
          <w:color w:val="374151"/>
          <w:sz w:val="22"/>
          <w:szCs w:val="22"/>
        </w:rPr>
        <w:t xml:space="preserve">Prioritised recommendations by urgency: Urgent / High / Medium</w:t>
      </w:r>
    </w:p>
    <w:p>
      <w:pPr>
        <w:spacing w:before="80" w:after="80"/>
      </w:pPr>
    </w:p>
    <w:p>
      <w:pPr>
        <w:pStyle w:val="Heading2"/>
        <w:spacing w:before="240" w:after="120"/>
      </w:pPr>
      <w:r>
        <w:rPr>
          <w:rFonts w:ascii="Arial" w:cs="Arial" w:eastAsia="Arial" w:hAnsi="Arial"/>
          <w:b/>
          <w:bCs/>
          <w:color w:val="1B3A6B"/>
          <w:sz w:val="26"/>
          <w:szCs w:val="26"/>
        </w:rPr>
        <w:t xml:space="preserve">Step 7 - GitHub and LinkedIn</w:t>
      </w:r>
    </w:p>
    <w:p>
      <w:pPr>
        <w:pStyle w:val="ListParagraph"/>
        <w:numPr>
          <w:ilvl w:val="0"/>
          <w:numId w:val="2"/>
        </w:numPr>
        <w:spacing w:before="40" w:after="40"/>
      </w:pPr>
      <w:r>
        <w:rPr>
          <w:rFonts w:ascii="Arial" w:cs="Arial" w:eastAsia="Arial" w:hAnsi="Arial"/>
          <w:color w:val="374151"/>
          <w:sz w:val="22"/>
          <w:szCs w:val="22"/>
        </w:rPr>
        <w:t xml:space="preserve">Created GitHub repository with full README, data files, .pbix, Excel, and documentation</w:t>
      </w:r>
    </w:p>
    <w:p>
      <w:pPr>
        <w:pStyle w:val="ListParagraph"/>
        <w:numPr>
          <w:ilvl w:val="0"/>
          <w:numId w:val="2"/>
        </w:numPr>
        <w:spacing w:before="40" w:after="40"/>
      </w:pPr>
      <w:r>
        <w:rPr>
          <w:rFonts w:ascii="Arial" w:cs="Arial" w:eastAsia="Arial" w:hAnsi="Arial"/>
          <w:color w:val="374151"/>
          <w:sz w:val="22"/>
          <w:szCs w:val="22"/>
        </w:rPr>
        <w:t xml:space="preserve">Wrote LinkedIn post summarising key findings and tagging mentor Nesh Kalat</w:t>
      </w:r>
    </w:p>
    <w:p>
      <w:pPr>
        <w:pStyle w:val="ListParagraph"/>
        <w:numPr>
          <w:ilvl w:val="0"/>
          <w:numId w:val="2"/>
        </w:numPr>
        <w:spacing w:before="40" w:after="40"/>
      </w:pPr>
      <w:r>
        <w:rPr>
          <w:rFonts w:ascii="Arial" w:cs="Arial" w:eastAsia="Arial" w:hAnsi="Arial"/>
          <w:color w:val="374151"/>
          <w:sz w:val="22"/>
          <w:szCs w:val="22"/>
        </w:rPr>
        <w:t xml:space="preserve">Added resume bullet points demonstrating specific technical and analytical skills</w:t>
      </w:r>
    </w:p>
    <w:p>
      <w:pPr>
        <w:spacing w:before="80" w:after="80"/>
      </w:pPr>
    </w:p>
    <w:p>
      <w:r>
        <w:br w:type="page"/>
      </w:r>
    </w:p>
    <w:p>
      <w:pPr>
        <w:pStyle w:val="Heading1"/>
        <w:spacing w:before="360" w:after="180"/>
      </w:pPr>
      <w:r>
        <w:rPr>
          <w:rFonts w:ascii="Arial" w:cs="Arial" w:eastAsia="Arial" w:hAnsi="Arial"/>
          <w:b/>
          <w:bCs/>
          <w:color w:val="0D1B3E"/>
          <w:sz w:val="32"/>
          <w:szCs w:val="32"/>
        </w:rPr>
        <w:t xml:space="preserve">8. Power BI DAX Measures Reference</w:t>
      </w:r>
    </w:p>
    <w:p>
      <w:pPr>
        <w:pBdr>
          <w:bottom w:val="single" w:color="2563EB" w:sz="8" w:space="1"/>
        </w:pBdr>
        <w:spacing w:before="80" w:after="80"/>
      </w:pPr>
    </w:p>
    <w:p>
      <w:pPr>
        <w:spacing w:before="60" w:after="80"/>
      </w:pPr>
      <w:r>
        <w:rPr>
          <w:rFonts w:ascii="Arial" w:cs="Arial" w:eastAsia="Arial" w:hAnsi="Arial"/>
          <w:color w:val="374151"/>
          <w:sz w:val="22"/>
          <w:szCs w:val="22"/>
        </w:rPr>
        <w:t xml:space="preserve">All measures are created in a dedicated _Measures table for clean organisation. Reference these exact formulas when building the Power BI dashboard.</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Measure Name</w:t>
            </w:r>
          </w:p>
        </w:tc>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DAX Formula</w:t>
            </w:r>
          </w:p>
        </w:tc>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Purpose</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Spend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SUM(fact_marketing_performance[spend])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ad spend with current filters</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Revenue</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SUM(fact_conversions[revenue_generated])</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revenue from all conversions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Clicks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SUM(fact_marketing_performance[clicks])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ad clicks</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Impressions</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SUM(fact_marketing_performance[impressions])</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ad impressions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Conversions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COUNTROWS(fact_conversions)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Count of purchase transactions</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CTR</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DIVIDE([Total Clicks],[Total Impressions],0)</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Click-through rate percentage</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CVR</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DIVIDE([Total Conversions],[Total Clicks],0)</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Conversion rate percentage</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CPC</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DIVIDE([Total Spend],[Total Clicks],0)</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Average cost per click in dollars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CPA</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DIVIDE([Total Spend],[Total Conversions],0)</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Average cost per acquisition</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DIVIDE([Total Revenue],[Total Spend],0)</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Revenue returned per $1 spent</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ROAS Status</w:t>
            </w:r>
          </w:p>
        </w:tc>
        <w:tc>
          <w:tcPr>
            <w:tcW w:type="dxa" w:w="3120"/>
            <w:tcBorders>
              <w:top w:val="single" w:color="CCCCCC" w:sz="1"/>
              <w:left w:val="single" w:color="CCCCCC" w:sz="1"/>
              <w:bottom w:val="single" w:color="CCCCCC" w:sz="1"/>
              <w:right w:val="single" w:color="CCCCCC" w:sz="1"/>
            </w:tcBorders>
            <w:shd w:fill="FADBD8" w:val="clear"/>
            <w:tcMar>
              <w:top w:type="dxa" w:w="100"/>
              <w:left w:type="dxa" w:w="150"/>
              <w:bottom w:type="dxa" w:w="100"/>
              <w:right w:type="dxa" w:w="150"/>
            </w:tcMar>
          </w:tcPr>
          <w:p>
            <w:pPr>
              <w:jc w:val="center"/>
            </w:pPr>
            <w:r>
              <w:rPr>
                <w:rFonts w:ascii="Arial" w:cs="Arial" w:eastAsia="Arial" w:hAnsi="Arial"/>
                <w:b/>
                <w:bCs/>
                <w:color w:val="C0392B"/>
                <w:sz w:val="20"/>
                <w:szCs w:val="20"/>
              </w:rPr>
              <w:t xml:space="preserve">IF([ROAS]&gt;=3,"Above Floor","Below Floor")</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Pass/fail flag for 3.0x floor</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Revenue Gap to 3x</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([Total Spend]*3)-[Total Revenue]</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Additional revenue needed to reach 3.0x</w:t>
            </w:r>
          </w:p>
        </w:tc>
      </w:tr>
    </w:tbl>
    <w:p>
      <w:pPr>
        <w:spacing w:before="80" w:after="80"/>
      </w:pPr>
    </w:p>
    <w:p>
      <w:r>
        <w:br w:type="page"/>
      </w:r>
    </w:p>
    <w:p>
      <w:pPr>
        <w:pStyle w:val="Heading1"/>
        <w:spacing w:before="360" w:after="180"/>
      </w:pPr>
      <w:r>
        <w:rPr>
          <w:rFonts w:ascii="Arial" w:cs="Arial" w:eastAsia="Arial" w:hAnsi="Arial"/>
          <w:b/>
          <w:bCs/>
          <w:color w:val="0D1B3E"/>
          <w:sz w:val="32"/>
          <w:szCs w:val="32"/>
        </w:rPr>
        <w:t xml:space="preserve">9. Final Conclusions &amp; Recommendations</w:t>
      </w:r>
    </w:p>
    <w:p>
      <w:pPr>
        <w:pBdr>
          <w:bottom w:val="single" w:color="2563EB" w:sz="8" w:space="1"/>
        </w:pBd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FADBD8" w:val="clear"/>
            <w:tcMar>
              <w:top w:type="dxa" w:w="160"/>
              <w:left w:type="dxa" w:w="240"/>
              <w:bottom w:type="dxa" w:w="160"/>
              <w:right w:type="dxa" w:w="240"/>
            </w:tcMar>
          </w:tcPr>
          <w:p>
            <w:pPr>
              <w:spacing w:before="0" w:after="80"/>
            </w:pPr>
            <w:r>
              <w:rPr>
                <w:rFonts w:ascii="Arial" w:cs="Arial" w:eastAsia="Arial" w:hAnsi="Arial"/>
                <w:b/>
                <w:bCs/>
                <w:color w:val="C0392B"/>
                <w:sz w:val="22"/>
                <w:szCs w:val="22"/>
              </w:rPr>
              <w:t xml:space="preserve">Overall Assessment</w:t>
            </w:r>
          </w:p>
          <w:p>
            <w:pPr>
              <w:spacing w:before="0" w:after="0"/>
            </w:pPr>
            <w:r>
              <w:rPr>
                <w:rFonts w:ascii="Arial" w:cs="Arial" w:eastAsia="Arial" w:hAnsi="Arial"/>
                <w:color w:val="374151"/>
                <w:sz w:val="20"/>
                <w:szCs w:val="20"/>
              </w:rPr>
              <w:t xml:space="preserve">TechGadget Inc. is spending $27.7M to generate $26.3M in revenue - a net marketing loss of $1.4M. The 40% budget increase scaled spend without any efficiency guardrails. Three fixable problems account for the entire gap: creative misalignment, CPC inflation, and absence of ROAS floor enforcement.</w:t>
            </w:r>
          </w:p>
        </w:tc>
      </w:tr>
    </w:tbl>
    <w:p>
      <w:pPr>
        <w:spacing w:before="80" w:after="80"/>
      </w:pPr>
    </w:p>
    <w:p>
      <w:pPr>
        <w:pStyle w:val="Heading2"/>
        <w:spacing w:before="240" w:after="120"/>
      </w:pPr>
      <w:r>
        <w:rPr>
          <w:rFonts w:ascii="Arial" w:cs="Arial" w:eastAsia="Arial" w:hAnsi="Arial"/>
          <w:b/>
          <w:bCs/>
          <w:color w:val="1B3A6B"/>
          <w:sz w:val="26"/>
          <w:szCs w:val="26"/>
        </w:rPr>
        <w:t xml:space="preserve">Priority Action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Priority</w:t>
            </w:r>
          </w:p>
        </w:tc>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Action</w:t>
            </w:r>
          </w:p>
        </w:tc>
        <w:tc>
          <w:tcPr>
            <w:tcW w:type="dxa" w:w="3120"/>
            <w:tcBorders>
              <w:top w:val="single" w:color="4A90D9" w:sz="1"/>
              <w:left w:val="single" w:color="4A90D9" w:sz="1"/>
              <w:bottom w:val="single" w:color="4A90D9" w:sz="1"/>
              <w:right w:val="single" w:color="4A90D9"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Expected Impact</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1 - URGENT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Enforce 3.0x ROAS floor - pause campaigns below threshold</w:t>
            </w:r>
          </w:p>
        </w:tc>
        <w:tc>
          <w:tcPr>
            <w:tcW w:type="dxa" w:w="3120"/>
            <w:tcBorders>
              <w:top w:val="single" w:color="CCCCCC" w:sz="1"/>
              <w:left w:val="single" w:color="CCCCCC" w:sz="1"/>
              <w:bottom w:val="single" w:color="CCCCCC" w:sz="1"/>
              <w:right w:val="single" w:color="CCCCCC" w:sz="1"/>
            </w:tcBorders>
            <w:shd w:fill="D5F5E3" w:val="clear"/>
            <w:tcMar>
              <w:top w:type="dxa" w:w="100"/>
              <w:left w:type="dxa" w:w="150"/>
              <w:bottom w:type="dxa" w:w="100"/>
              <w:right w:type="dxa" w:w="150"/>
            </w:tcMar>
          </w:tcPr>
          <w:p>
            <w:pPr>
              <w:jc w:val="center"/>
            </w:pPr>
            <w:r>
              <w:rPr>
                <w:rFonts w:ascii="Arial" w:cs="Arial" w:eastAsia="Arial" w:hAnsi="Arial"/>
                <w:b/>
                <w:bCs/>
                <w:color w:val="1A5C2E"/>
                <w:sz w:val="20"/>
                <w:szCs w:val="20"/>
              </w:rPr>
              <w:t xml:space="preserve">Stop active money loss immediately</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2 - HIGH</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Cap Google NonBrand CPC bids at $2.50 maximum</w:t>
            </w:r>
          </w:p>
        </w:tc>
        <w:tc>
          <w:tcPr>
            <w:tcW w:type="dxa" w:w="3120"/>
            <w:tcBorders>
              <w:top w:val="single" w:color="CCCCCC" w:sz="1"/>
              <w:left w:val="single" w:color="CCCCCC" w:sz="1"/>
              <w:bottom w:val="single" w:color="CCCCCC" w:sz="1"/>
              <w:right w:val="single" w:color="CCCCCC" w:sz="1"/>
            </w:tcBorders>
            <w:shd w:fill="FDEBD0" w:val="clear"/>
            <w:tcMar>
              <w:top w:type="dxa" w:w="100"/>
              <w:left w:type="dxa" w:w="150"/>
              <w:bottom w:type="dxa" w:w="100"/>
              <w:right w:type="dxa" w:w="150"/>
            </w:tcMar>
          </w:tcPr>
          <w:p>
            <w:pPr>
              <w:jc w:val="center"/>
            </w:pPr>
            <w:r>
              <w:rPr>
                <w:rFonts w:ascii="Arial" w:cs="Arial" w:eastAsia="Arial" w:hAnsi="Arial"/>
                <w:b/>
                <w:bCs/>
                <w:color w:val="7D6608"/>
                <w:sz w:val="20"/>
                <w:szCs w:val="20"/>
              </w:rPr>
              <w:t xml:space="preserve">Save ~$150K/month in excess bid costs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3 - HIGH</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Shift 25% of video budget to Google Search text ads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3x conversion efficiency improvement</w:t>
            </w:r>
          </w:p>
        </w:tc>
      </w:tr>
      <w:tr>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4 - MEDIUM</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Fix post-click landing pages and checkout funnel</w:t>
            </w:r>
          </w:p>
        </w:tc>
        <w:tc>
          <w:tcPr>
            <w:tcW w:type="dxa" w:w="3120"/>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CVR improvement toward 2% benchmark</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5 - MEDIUM</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Implement weekly ROAS monitoring via Power BI alerts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center"/>
            </w:pPr>
            <w:r>
              <w:rPr>
                <w:rFonts w:ascii="Arial" w:cs="Arial" w:eastAsia="Arial" w:hAnsi="Arial"/>
                <w:b w:val="false"/>
                <w:bCs w:val="false"/>
                <w:color w:val="374151"/>
                <w:sz w:val="20"/>
                <w:szCs w:val="20"/>
              </w:rPr>
              <w:t xml:space="preserve">Early warning before budget waste compounds</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D5F5E3" w:val="clear"/>
            <w:tcMar>
              <w:top w:type="dxa" w:w="160"/>
              <w:left w:type="dxa" w:w="240"/>
              <w:bottom w:type="dxa" w:w="160"/>
              <w:right w:type="dxa" w:w="240"/>
            </w:tcMar>
          </w:tcPr>
          <w:p>
            <w:pPr>
              <w:spacing w:before="0" w:after="80"/>
            </w:pPr>
            <w:r>
              <w:rPr>
                <w:rFonts w:ascii="Arial" w:cs="Arial" w:eastAsia="Arial" w:hAnsi="Arial"/>
                <w:b/>
                <w:bCs/>
                <w:color w:val="1A5C2E"/>
                <w:sz w:val="22"/>
                <w:szCs w:val="22"/>
              </w:rPr>
              <w:t xml:space="preserve">Skills Demonstrated in This Project</w:t>
            </w:r>
          </w:p>
          <w:p>
            <w:pPr>
              <w:spacing w:before="0" w:after="0"/>
            </w:pPr>
            <w:r>
              <w:rPr>
                <w:rFonts w:ascii="Arial" w:cs="Arial" w:eastAsia="Arial" w:hAnsi="Arial"/>
                <w:color w:val="374151"/>
                <w:sz w:val="20"/>
                <w:szCs w:val="20"/>
              </w:rPr>
              <w:t xml:space="preserve">Dimensional data modeling (star schema) | KPI engineering (CTR, CVR, CPC, CPA, ROAS) | Python data wrangling with pandas | Excel dashboard design (7-sheet professional workbook) | Power BI development with DAX measures and star schema | Business storytelling and executive communication | Paid media and marketing analytics | GitHub project documentation</w:t>
            </w:r>
          </w:p>
        </w:tc>
      </w:tr>
    </w:tbl>
    <w:p>
      <w:pPr>
        <w:spacing w:before="80" w:after="8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6" w:space="1"/>
      </w:pBdr>
      <w:tabs>
        <w:tab w:val="right" w:pos="9026"/>
      </w:tabs>
    </w:pPr>
    <w:r>
      <w:rPr>
        <w:rFonts w:ascii="Arial" w:cs="Arial" w:eastAsia="Arial" w:hAnsi="Arial"/>
        <w:color w:val="374151"/>
        <w:sz w:val="18"/>
        <w:szCs w:val="18"/>
      </w:rPr>
      <w:t xml:space="preserve">Project by: [Your Name]  |  Mentor: Nesh Kalat  |  Page </w:t>
    </w:r>
    <w:r>
      <w:rPr>
        <w:rFonts w:ascii="Arial" w:cs="Arial" w:eastAsia="Arial" w:hAnsi="Arial"/>
        <w:color w:val="374151"/>
        <w:sz w:val="18"/>
        <w:szCs w:val="18"/>
      </w:rPr>
      <w:fldChar w:fldCharType="begin"/>
      <w:instrText xml:space="preserve">PAGE</w:instrText>
      <w:fldChar w:fldCharType="separate"/>
      <w:fldChar w:fldCharType="end"/>
    </w:r>
    <w:r>
      <w:rPr>
        <w:rFonts w:ascii="Arial" w:cs="Arial" w:eastAsia="Arial" w:hAnsi="Arial"/>
        <w:color w:val="1B3A6B"/>
        <w:sz w:val="18"/>
        <w:szCs w:val="18"/>
      </w:rPr>
      <w:t xml:space="preserve">	github.com/[your-username]/techgadget-marketing-analytics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1"/>
      </w:pBdr>
      <w:tabs>
        <w:tab w:val="right" w:pos="9026"/>
      </w:tabs>
    </w:pPr>
    <w:r>
      <w:rPr>
        <w:rFonts w:ascii="Arial" w:cs="Arial" w:eastAsia="Arial" w:hAnsi="Arial"/>
        <w:color w:val="1B3A6B"/>
        <w:sz w:val="18"/>
        <w:szCs w:val="18"/>
      </w:rPr>
      <w:t xml:space="preserve">TechGadget Inc. - Marketing Performance Analytics</w:t>
    </w:r>
    <w:r>
      <w:rPr>
        <w:rFonts w:ascii="Arial" w:cs="Arial" w:eastAsia="Arial" w:hAnsi="Arial"/>
        <w:color w:val="374151"/>
        <w:sz w:val="18"/>
        <w:szCs w:val="18"/>
      </w:rPr>
      <w:t xml:space="preserve">	Confidential | Portfolio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0D1B3E"/>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B3A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2026-03-05T12:24:55.789Z</dcterms:created>
  <dcterms:modified xsi:type="dcterms:W3CDTF">2026-03-05T12:24:55.790Z</dcterms:modified>
</cp:coreProperties>
</file>

<file path=docProps/custom.xml><?xml version="1.0" encoding="utf-8"?>
<Properties xmlns="http://schemas.openxmlformats.org/officeDocument/2006/custom-properties" xmlns:vt="http://schemas.openxmlformats.org/officeDocument/2006/docPropsVTypes"/>
</file>