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需求调研报告摘要</w:t>
      </w:r>
    </w:p>
    <w:p/>
    <w:p/>
    <w:p>
      <w:pPr>
        <w:numPr>
          <w:numId w:val="0"/>
        </w:numPr>
      </w:pPr>
      <w:r>
        <w:t>一、用户权限中心（对应方案4.4 1、2、4）</w:t>
      </w:r>
    </w:p>
    <w:p>
      <w:pPr>
        <w:numPr>
          <w:numId w:val="0"/>
        </w:numPr>
      </w:pPr>
      <w:r>
        <w:t>1、用户注册方式，两种（各自画图）：</w:t>
      </w:r>
    </w:p>
    <w:p>
      <w:pPr>
        <w:numPr>
          <w:numId w:val="0"/>
        </w:numPr>
      </w:pPr>
      <w:r>
        <w:t>1）主动注册</w:t>
      </w:r>
    </w:p>
    <w:p>
      <w:pPr>
        <w:pStyle w:val="5"/>
        <w:keepNext w:val="0"/>
        <w:keepLines w:val="0"/>
        <w:widowControl/>
        <w:suppressLineNumbers w:val="0"/>
      </w:pPr>
      <w:r>
        <w:t>正常手机号注册</w:t>
      </w:r>
    </w:p>
    <w:p>
      <w:pPr>
        <w:pStyle w:val="5"/>
        <w:keepNext w:val="0"/>
        <w:keepLines w:val="0"/>
        <w:widowControl/>
        <w:suppressLineNumbers w:val="0"/>
      </w:pPr>
      <w:r>
        <w:t>实名认证（先取市民卡数据，保存虞城通号，如果失败，上传照片人工审核）</w:t>
      </w:r>
    </w:p>
    <w:p>
      <w:pPr>
        <w:pStyle w:val="5"/>
        <w:keepNext w:val="0"/>
        <w:keepLines w:val="0"/>
        <w:widowControl/>
        <w:suppressLineNumbers w:val="0"/>
      </w:pPr>
      <w:r>
        <w:t>采集人脸特征（提供方便性，并不作为功能限制）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2）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购买农药被动注册</w:t>
      </w: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（两种刷脸、刷市民卡）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扫脸（本地库判断是否注册</w:t>
      </w:r>
      <w:r>
        <w:rPr>
          <w:rStyle w:val="6"/>
          <w:lang w:val="en-US" w:eastAsia="zh-CN" w:bidi="ar"/>
        </w:rPr>
        <w:t>-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》失败，市民卡库同步数据</w:t>
      </w:r>
      <w:r>
        <w:rPr>
          <w:rStyle w:val="6"/>
          <w:lang w:val="en-US" w:eastAsia="zh-CN" w:bidi="ar"/>
        </w:rPr>
        <w:t>-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》失败，进入注册流程）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手机号注册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实名认证（拍照上传，农药店确认，延后后台人工审核）</w:t>
      </w:r>
      <w:r>
        <w:rPr>
          <w:rStyle w:val="6"/>
          <w:lang w:val="en-US" w:eastAsia="zh-CN" w:bidi="ar"/>
        </w:rPr>
        <w:t>-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》采集人脸特征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刷市民卡（读取虞城通号）</w:t>
      </w:r>
      <w:r>
        <w:rPr>
          <w:rStyle w:val="6"/>
          <w:lang w:val="en-US" w:eastAsia="zh-CN" w:bidi="ar"/>
        </w:rPr>
        <w:t>-&gt;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检查本地用户库</w:t>
      </w:r>
      <w:r>
        <w:rPr>
          <w:rStyle w:val="6"/>
          <w:lang w:val="en-US" w:eastAsia="zh-CN" w:bidi="ar"/>
        </w:rPr>
        <w:t>-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》失败，调用市民卡数据完成注册（身份证号、姓名、人脸照片）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用户登录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</w:pPr>
      <w:r>
        <w:t>登录方式：用户密码、验证码登录、手机app扫码登录、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手机端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touchid/faceid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登录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3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、安全中心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手机号修改（登录账号后，输入新手机号、验证码）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4、权限管理与鉴权</w:t>
      </w:r>
    </w:p>
    <w:p>
      <w:pPr>
        <w:numPr>
          <w:numId w:val="0"/>
        </w:numPr>
      </w:pPr>
      <w:r>
        <w:t>使用JWT提供单点登录，token通过cookie存储在浏览器、APP本地</w:t>
      </w:r>
    </w:p>
    <w:p>
      <w:pPr>
        <w:numPr>
          <w:numId w:val="0"/>
        </w:numPr>
      </w:pPr>
      <w:r>
        <w:t>提供两个维度权限控制：</w:t>
      </w:r>
    </w:p>
    <w:p>
      <w:pPr>
        <w:numPr>
          <w:ilvl w:val="0"/>
          <w:numId w:val="2"/>
        </w:numPr>
      </w:pPr>
      <w:r>
        <w:t>、用户登录后，根据菜单权限进行菜单隐藏显示控制</w:t>
      </w:r>
    </w:p>
    <w:p>
      <w:pPr>
        <w:numPr>
          <w:ilvl w:val="0"/>
          <w:numId w:val="2"/>
        </w:numPr>
      </w:pPr>
      <w:r>
        <w:t>、用户发起后端请求时，根据请求uri，对应权限点进行鉴权</w:t>
      </w:r>
    </w:p>
    <w:p>
      <w:pPr>
        <w:numPr>
          <w:numId w:val="0"/>
        </w:numPr>
      </w:pPr>
      <w:r>
        <w:t>二包、三包在请求自己的应用业务API时，根据用户token和请求路径请求鉴权组件接口进行权限判断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应用管理、安全监控</w:t>
      </w:r>
    </w:p>
    <w:p>
      <w:pPr>
        <w:numPr>
          <w:numId w:val="0"/>
        </w:numPr>
      </w:pPr>
      <w:r>
        <w:t>使用Dice平台提供的应用服务注册和安全监控，提供服务和API级别服务注册发现和监控。</w:t>
      </w:r>
    </w:p>
    <w:p>
      <w:pPr>
        <w:numPr>
          <w:numId w:val="0"/>
        </w:numPr>
      </w:pPr>
      <w:r>
        <w:t>功能对于使用基于java微服务架构的应用开放。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具体功能参照dice文档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消息服务</w:t>
      </w:r>
    </w:p>
    <w:p>
      <w:pPr>
        <w:numPr>
          <w:numId w:val="0"/>
        </w:numPr>
      </w:pPr>
      <w:r>
        <w:t>提供短信和站内信服务</w:t>
      </w:r>
    </w:p>
    <w:p>
      <w:pPr>
        <w:numPr>
          <w:numId w:val="0"/>
        </w:numPr>
      </w:pPr>
      <w:r>
        <w:t>短信对接农委合作短信平台</w:t>
      </w:r>
    </w:p>
    <w:p>
      <w:pPr>
        <w:numPr>
          <w:numId w:val="0"/>
        </w:numPr>
      </w:pPr>
      <w:r>
        <w:t>站内信支持对APP消息推送，站内信只包括系统广播类消息，不提供点对点聊天功能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接口平台</w:t>
      </w:r>
    </w:p>
    <w:p>
      <w:pPr>
        <w:widowControl w:val="0"/>
        <w:numPr>
          <w:ilvl w:val="0"/>
          <w:numId w:val="4"/>
        </w:numPr>
        <w:jc w:val="both"/>
      </w:pPr>
      <w:r>
        <w:t>服务管理平台</w:t>
      </w:r>
    </w:p>
    <w:p>
      <w:pPr>
        <w:widowControl w:val="0"/>
        <w:numPr>
          <w:numId w:val="0"/>
        </w:numPr>
        <w:jc w:val="both"/>
      </w:pPr>
      <w:r>
        <w:t>使用dice提供的服务管理平台，对微服务进行管理</w:t>
      </w:r>
    </w:p>
    <w:p>
      <w:pPr>
        <w:widowControl w:val="0"/>
        <w:numPr>
          <w:ilvl w:val="0"/>
          <w:numId w:val="4"/>
        </w:numPr>
        <w:jc w:val="both"/>
      </w:pPr>
      <w:r>
        <w:t>人脸识别</w:t>
      </w:r>
    </w:p>
    <w:p>
      <w:pPr>
        <w:widowControl w:val="0"/>
        <w:numPr>
          <w:numId w:val="0"/>
        </w:numPr>
        <w:jc w:val="both"/>
      </w:pPr>
      <w:r>
        <w:t>提供人脸识别算法，供业务应用系统使用获取用户身份</w:t>
      </w:r>
    </w:p>
    <w:p>
      <w:pPr>
        <w:widowControl w:val="0"/>
        <w:numPr>
          <w:numId w:val="0"/>
        </w:numPr>
        <w:jc w:val="both"/>
      </w:pPr>
      <w:r>
        <w:t>人脸识别先校验本地用户库人脸信息，如果成功直接返回，如果失败则校验市民卡库人脸信息，如果成功，则将市民卡当前匹配记录同步到本地用户库并返回</w:t>
      </w:r>
    </w:p>
    <w:p>
      <w:pPr>
        <w:widowControl w:val="0"/>
        <w:numPr>
          <w:ilvl w:val="0"/>
          <w:numId w:val="4"/>
        </w:numPr>
        <w:jc w:val="both"/>
      </w:pPr>
      <w:r>
        <w:t>市民卡验证</w:t>
      </w:r>
    </w:p>
    <w:p>
      <w:pPr>
        <w:widowControl w:val="0"/>
        <w:numPr>
          <w:numId w:val="0"/>
        </w:numPr>
        <w:jc w:val="both"/>
      </w:pPr>
      <w:r>
        <w:t>通过业务系统获取市民卡号，在本地用户库中匹配对应用户数据，如果匹配失败，则从市民卡库中获取卡号对应用户数据，并保存到本地库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</w:pPr>
      <w:r>
        <w:t>物联网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、传感器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参照协议规范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农委协调坐标位置，与传感器服务提供方讨论位置对接或者配置解析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保存传感器上行温度湿度数据，供查询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2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、北斗设备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本期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不需要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3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、摄像头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配置摄像头位置，名称，视频流地址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可以选择某一摄像头，使用播放器播放对应视频流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4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、读卡器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维护读卡器序列号，读卡器与店铺关系，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对接农药系统，获取店铺信息（接口待定，阳阳帮忙协调）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5</w:t>
      </w: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、人脸识别、录音设备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人脸识别设备，摄像头推送序列号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录音录制开始结束控制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  <w:t>录音音频上行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pingfang sc" w:hAnsi=".pingfang sc" w:eastAsia=".pingfang sc" w:cs=".pingfang sc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left"/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桌面及APP框架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right="0" w:rightChars="0"/>
        <w:jc w:val="left"/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系统业务逻辑上可划分为三端：工作人员PC WEB端，工作人员APP端（H5），面向公众APP端（H5）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right="0" w:rightChars="0"/>
        <w:jc w:val="left"/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工作人员和面向公众APP端合并打包成唯一应用，用户登录后可以通过身份切换（公众、工作人员）进行操作，自动记录上次使用平台，登录后自动切换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right="0" w:rightChars="0"/>
        <w:jc w:val="left"/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UI设计风格已确认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right="0" w:rightChars="0"/>
        <w:jc w:val="left"/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</w:pPr>
      <w:r>
        <w:rPr>
          <w:rFonts w:ascii=".pingfang sc" w:hAnsi=".pingfang sc" w:eastAsia=".pingfang sc" w:cs=".pingfang sc"/>
          <w:kern w:val="0"/>
          <w:sz w:val="24"/>
          <w:szCs w:val="24"/>
          <w:lang w:eastAsia="zh-CN" w:bidi="ar"/>
        </w:rPr>
        <w:t>页面框架提供顶栏菜单和左侧菜单，二包、三包功能页面只完成业务操作部分，通过页面框架提供的菜单注册功能，将页面注册在页面框架中，由页面框架</w:t>
      </w:r>
    </w:p>
    <w:p>
      <w:pPr>
        <w:widowControl w:val="0"/>
        <w:numPr>
          <w:numId w:val="0"/>
        </w:numPr>
        <w:jc w:val="both"/>
      </w:pPr>
      <w:r>
        <w:t>控制各个功能页面之间的跳转，及用户身份传输</w:t>
      </w:r>
    </w:p>
    <w:p>
      <w:pPr>
        <w:widowControl w:val="0"/>
        <w:numPr>
          <w:ilvl w:val="0"/>
          <w:numId w:val="6"/>
        </w:numPr>
        <w:jc w:val="both"/>
      </w:pPr>
      <w:r>
        <w:t>在WEB端页面框架中提供到各业务平台功能入口，用户可以自己对入口进行显示隐藏、排列顺序等个性化设置。</w:t>
      </w:r>
    </w:p>
    <w:p>
      <w:pPr>
        <w:widowControl w:val="0"/>
        <w:numPr>
          <w:ilvl w:val="0"/>
          <w:numId w:val="6"/>
        </w:numPr>
        <w:jc w:val="both"/>
      </w:pPr>
      <w:r>
        <w:t>在WEB端提供备忘录功能，用户可以将各业务系统登录密码保存在备忘录中</w:t>
      </w:r>
    </w:p>
    <w:p>
      <w:pPr>
        <w:widowControl w:val="0"/>
        <w:numPr>
          <w:numId w:val="0"/>
        </w:numPr>
        <w:jc w:val="both"/>
      </w:pPr>
      <w:r>
        <w:t>打开备忘录时，需要对用户身份进行二次校验（类似二次登录操作）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AE1C7"/>
    <w:multiLevelType w:val="singleLevel"/>
    <w:tmpl w:val="5D4AE1C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D4AE28C"/>
    <w:multiLevelType w:val="singleLevel"/>
    <w:tmpl w:val="5D4AE28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D4AE345"/>
    <w:multiLevelType w:val="singleLevel"/>
    <w:tmpl w:val="5D4AE345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D4AE4B0"/>
    <w:multiLevelType w:val="singleLevel"/>
    <w:tmpl w:val="5D4AE4B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4AE5C7"/>
    <w:multiLevelType w:val="singleLevel"/>
    <w:tmpl w:val="5D4AE5C7"/>
    <w:lvl w:ilvl="0" w:tentative="0">
      <w:start w:val="5"/>
      <w:numFmt w:val="chineseCounting"/>
      <w:suff w:val="nothing"/>
      <w:lvlText w:val="%1、"/>
      <w:lvlJc w:val="left"/>
    </w:lvl>
  </w:abstractNum>
  <w:abstractNum w:abstractNumId="5">
    <w:nsid w:val="5D4AE6A5"/>
    <w:multiLevelType w:val="singleLevel"/>
    <w:tmpl w:val="5D4AE6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E6BB"/>
    <w:rsid w:val="6FBFE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kern w:val="0"/>
      <w:sz w:val="24"/>
      <w:szCs w:val="24"/>
      <w:lang w:val="en-US" w:eastAsia="zh-CN" w:bidi="ar"/>
    </w:rPr>
  </w:style>
  <w:style w:type="character" w:customStyle="1" w:styleId="6">
    <w:name w:val="s1"/>
    <w:basedOn w:val="3"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2019-08-07T22:26:00Z</dcterms:created>
  <dc:creator>mac</dc:creator>
  <cp:lastModifiedBy>mac</cp:lastModifiedBy>
  <dcterms:modified xsi:type="dcterms:W3CDTF">2019-08-07T22:58:09Z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