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b/>
          <w:color w:val="1C374A"/>
          <w:sz w:val="50"/>
        </w:rPr>
        <w:t>项目背景与建设目标</w:t>
      </w:r>
    </w:p>
    <w:p>
      <w:pPr>
        <w:pStyle w:val="Subtitle"/>
      </w:pPr>
      <w:r>
        <w:t>电动葫芦控制板 · 有线兼容 + 无线遥控功能验证</w:t>
      </w:r>
    </w:p>
    <w:p>
      <w:r>
        <w:t>项目编号：HOIST-CTRL-FV1-20261013    基线日期：2026-10-13    文件状态：FV1.0 / 工作交接版</w:t>
      </w:r>
    </w:p>
    <w:p>
      <w:r>
        <w:t>依据：2026-10-13冻结原理图与Protel网表；用于研发团队与Codex多工作流统一理解。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8"/>
        <w:gridCol w:w="7286"/>
      </w:tblGrid>
      <w:tr>
        <w:trPr>
          <w:tblHeader w:val="true"/>
        </w:trPr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基线项目</w:t>
            </w:r>
          </w:p>
        </w:tc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冻结内容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硬件原理图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SCH_控制板V1_2026-10-13.pdf（3页）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硬件网表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Netlist_控制板V1_2026-10-13.net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原理图SHA-256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4040319310abee935d8c2102a721bb965968f35fb30d1e063c926d8219eba39a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网表SHA-256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57cb7e749b123f0a46c7507101361863dd1a99f0bb9733f9cd02db60d0cabc22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设计阶段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V1功能样机 / 待PCBA到货验证；非CE认证及带载运行放行</w:t>
            </w:r>
          </w:p>
        </w:tc>
      </w:tr>
    </w:tbl>
    <w:p>
      <w:pPr>
        <w:spacing w:after="0"/>
      </w:pPr>
    </w:p>
    <w:p>
      <w:pPr>
        <w:pStyle w:val="Heading1"/>
      </w:pPr>
      <w:r>
        <w:t>1. 项目背景</w:t>
      </w:r>
    </w:p>
    <w:p>
      <w:r>
        <w:t>既有电动葫芦控制系统使用三相380VAC供电，已由客户长时间批量应用。原有控制板以有线手柄为主要操作入口，通过三相主接触器KM1、换相继电器KA1/KA2、速度选择继电器KA3实现运行；通过外部上下行程限位、KM1辅助触点及B1/B2机械抱闸相关回路实现原有停止与制动行为。</w:t>
      </w:r>
    </w:p>
    <w:p>
      <w:r>
        <w:t>本次改造来自对无线操作便利性的需求。项目组希望在最大限度沿用既有电气结构、机械控制方式和现场接线习惯的基础上，增加无线接收、方向命令与公共控制电源许可，不改变原有三相主电机接线及客户既有有线手柄的端子定义。</w:t>
      </w:r>
    </w:p>
    <w:p>
      <w:r>
        <w:t>项目组从硬件实现出发，设计GD32E230C8T6 + CMT2219B无线接收方案，新增APY225G3EH双路光MOS输出、K1有线/无线选择和RLY3公共许可。当前PCB尚未进行最终定版，处于V1功能验证基线冻结阶段。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37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B66"/>
          <w:sz w:val="16"/>
        </w:rPr>
        <w:t>图1  项目改造边界：无线只新增操作入口，原三相控制及机械抱闸链仍作为执行基础。</w:t>
      </w:r>
    </w:p>
    <w:p>
      <w:pPr>
        <w:pStyle w:val="Heading1"/>
      </w:pPr>
      <w:r>
        <w:t>2. 项目建设目的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995"/>
        <w:gridCol w:w="5645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编号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建设目的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预期成果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G01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兼容原有线手柄及客户现场接线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CN1/CN2/CN3端子含义保持冻结定义；原行为有对照记录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G02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新增无线升降控制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接收器、MCU解码、PhotoMOS控制与K1选择形成完整验证链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G03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实现有线操作优先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有线输入有效时抑制无线方向请求，避免双源同时控制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G04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维持原双速使用方式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上升+快速=快速上升；下降+快速=快速下降；不允许快速单独产生运动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G05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保持原硬件限位和机械抱闸路径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限位返回、KM1与B1/B2不被无线软件直接旁路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G06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实现公共运行许可的功能停机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有线急停或无线停机请求使CTRL_SAFE失去许可；停机时序待测试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G07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形成可维护的软件基础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模块化HAL/协议/状态机、诊断日志、模拟测试和多工作流接口契约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G08</w:t>
            </w:r>
          </w:p>
        </w:tc>
        <w:tc>
          <w:tcPr>
            <w:tcW w:type="dxa" w:w="299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为后续V2及CE改版沉淀证据</w:t>
            </w:r>
          </w:p>
        </w:tc>
        <w:tc>
          <w:tcPr>
            <w:tcW w:type="dxa" w:w="56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保存网络冻结、波形、测试报告、缺陷和变更记录</w:t>
            </w:r>
          </w:p>
        </w:tc>
      </w:tr>
    </w:tbl>
    <w:p>
      <w:pPr>
        <w:spacing w:after="0"/>
      </w:pPr>
    </w:p>
    <w:p>
      <w:pPr>
        <w:pStyle w:val="Heading1"/>
      </w:pPr>
      <w:r>
        <w:t>3. V1功能范围与非目标</w:t>
      </w:r>
    </w:p>
    <w:p>
      <w:pPr>
        <w:pStyle w:val="Heading2"/>
      </w:pPr>
      <w:r>
        <w:t>3.1 V1必须覆盖的功能</w:t>
      </w:r>
    </w:p>
    <w:p>
      <w:pPr>
        <w:pStyle w:val="ListBullet"/>
        <w:spacing w:after="60"/>
      </w:pPr>
      <w:r>
        <w:t>保留有线上升、下降、快速、线控急停及方向限位输入链的物理接线。</w:t>
      </w:r>
    </w:p>
    <w:p>
      <w:pPr>
        <w:pStyle w:val="ListBullet"/>
        <w:spacing w:after="60"/>
      </w:pPr>
      <w:r>
        <w:t>无线升降方向具备互斥；有线优先由硬件组合逻辑实现，软件不得主动覆盖。</w:t>
      </w:r>
    </w:p>
    <w:p>
      <w:pPr>
        <w:pStyle w:val="ListBullet"/>
        <w:spacing w:after="60"/>
      </w:pPr>
      <w:r>
        <w:t>MCU故障/重启默认撤销运行许可；无线超时、异常帧、非法组合时不得继续保持无线运动输出。</w:t>
      </w:r>
    </w:p>
    <w:p>
      <w:pPr>
        <w:pStyle w:val="ListBullet"/>
        <w:spacing w:after="60"/>
      </w:pPr>
      <w:r>
        <w:t>保留原KA1/KA2/KA3、KM1以及B1/B2连接关系，并在隔离台架进行行为对照。</w:t>
      </w:r>
    </w:p>
    <w:p>
      <w:pPr>
        <w:pStyle w:val="ListBullet"/>
        <w:spacing w:after="60"/>
      </w:pPr>
      <w:r>
        <w:t>提供可复现的固件构建、编译记录、模拟输入测试与异常日志。</w:t>
      </w:r>
    </w:p>
    <w:p>
      <w:pPr>
        <w:pStyle w:val="Heading2"/>
      </w:pPr>
      <w:r>
        <w:t>3.2 明确不属于V1可承诺交付范围</w:t>
      </w:r>
    </w:p>
    <w:p>
      <w:pPr>
        <w:pStyle w:val="ListBullet"/>
        <w:spacing w:after="60"/>
      </w:pPr>
      <w:r>
        <w:t>不声明已达到CE/EN ISO 13849相关安全等级，也不以单只RLY3及MCU软件替代认证安全急停链。</w:t>
      </w:r>
    </w:p>
    <w:p>
      <w:pPr>
        <w:pStyle w:val="ListBullet"/>
        <w:spacing w:after="60"/>
      </w:pPr>
      <w:r>
        <w:t>不承诺PCB可直接接入380V现场带载起吊；高压带电验证须通过独立评审。</w:t>
      </w:r>
    </w:p>
    <w:p>
      <w:pPr>
        <w:pStyle w:val="ListBullet"/>
        <w:spacing w:after="60"/>
      </w:pPr>
      <w:r>
        <w:t>不重新设计客户已验证的换相、接触器、抱闸物理结构，除非发现硬性电气风险。</w:t>
      </w:r>
    </w:p>
    <w:p>
      <w:pPr>
        <w:pStyle w:val="ListBullet"/>
        <w:spacing w:after="60"/>
      </w:pPr>
      <w:r>
        <w:t>不在没有遥控器协议文档、样帧和认证要求的情况下编造无线帧格式或无线安全等级。</w:t>
      </w:r>
    </w:p>
    <w:p>
      <w:pPr>
        <w:pStyle w:val="ListBullet"/>
        <w:spacing w:after="60"/>
      </w:pPr>
      <w:r>
        <w:t>不把讨论过但未纳入冻结网表的TVS、限流电阻串联、电源稳压改造作为V1已完成项目。</w:t>
      </w:r>
    </w:p>
    <w:p>
      <w:pPr>
        <w:pStyle w:val="Heading1"/>
      </w:pPr>
      <w:r>
        <w:t>4. 用户操作逻辑与兼容约定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4579"/>
        <w:gridCol w:w="2866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场景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V1目标行为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责任范围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有线UP/DN/FAST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保留原三键独立行为；UP+FAST、DN+FAST对应快速档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原硬件+MCU快速输出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有线与无线同时操作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有线优先；无线方向被硬件门控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U16/U17/U21、U23/U20、K1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无线上升/下降同时有效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均不得形成有效方向输出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U24/U25/U26+软件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任意急停触发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在正常器件工作条件下撤销CTRL_SAFE并验证KM1/制动器失电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U22 / PB11 / U15 / U19 / RLY3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碰上/下限位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禁止继续进入相应限位方向；是否允许反向退出以旧版为基准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原物理限位/硬件主链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急停旋转复位时按键仍按住</w:t>
            </w:r>
          </w:p>
        </w:tc>
        <w:tc>
          <w:tcPr>
            <w:tcW w:type="dxa" w:w="45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客户确认旧版恢复许可后，保持的按键仍被视为有效；本行为有安全合规风险</w:t>
            </w:r>
          </w:p>
        </w:tc>
        <w:tc>
          <w:tcPr>
            <w:tcW w:type="dxa" w:w="286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V1仅隔离对照验证，认证版须另议</w:t>
            </w:r>
          </w:p>
        </w:tc>
      </w:tr>
    </w:tbl>
    <w:p>
      <w:pPr>
        <w:spacing w:after="0"/>
      </w:pPr>
    </w:p>
    <w:p>
      <w:pPr>
        <w:pStyle w:val="Heading1"/>
      </w:pPr>
      <w:r>
        <w:t>5. 关键硬件架构事实（不允许由工作流猜测）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8"/>
        <w:gridCol w:w="7286"/>
      </w:tblGrid>
      <w:tr>
        <w:trPr>
          <w:tblHeader w:val="true"/>
        </w:trPr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模块</w:t>
            </w:r>
          </w:p>
        </w:tc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已冻结硬件事实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两路供电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U2独立次级：9VAC/44mA→5V/3.3V；23VAC/0.2A→24V标称控制供电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CMT2219B接收 + GD32E230C8T6；协议报文未提供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RLY1/RLY2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APY225G3EH，输出CTRL_SAFE→RF_UPOUT/RF_DNOUT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K1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AGN20024，完成无线/有线方向输入切换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RLY3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公共许可继电器，将T1_RAW接向CTRL_SAFE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限位/抱闸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LIFT1、LOWER1→KM1控制链；13/14辅助触点参与B1/B2供电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软件看不到的输入</w:t>
            </w:r>
          </w:p>
        </w:tc>
        <w:tc>
          <w:tcPr>
            <w:tcW w:type="dxa" w:w="72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W_UP_RAW、W_DN_RAW未直接接MCU GPIO；硬件WIRED_IDLE也未直接接入MCU</w:t>
            </w:r>
          </w:p>
        </w:tc>
      </w:tr>
    </w:tbl>
    <w:p>
      <w:pPr>
        <w:spacing w:after="0"/>
      </w:pPr>
    </w:p>
    <w:p>
      <w:pPr>
        <w:pStyle w:val="Heading1"/>
      </w:pPr>
      <w:r>
        <w:t>6. 交付物与阶段验收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398"/>
        <w:gridCol w:w="4320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阶段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必须交付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验收说明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P0 文档基线</w:t>
            </w:r>
          </w:p>
        </w:tc>
        <w:tc>
          <w:tcPr>
            <w:tcW w:type="dxa" w:w="339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冻结图纸、网表、项目背景、软件架构约束</w:t>
            </w:r>
          </w:p>
        </w:tc>
        <w:tc>
          <w:tcPr>
            <w:tcW w:type="dxa" w:w="432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SHA-256一致；所有未确认项列清单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P1 固件最小可启动</w:t>
            </w:r>
          </w:p>
        </w:tc>
        <w:tc>
          <w:tcPr>
            <w:tcW w:type="dxa" w:w="339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BSP、时钟、GPIO默认安全态、串口日志、看门狗框架</w:t>
            </w:r>
          </w:p>
        </w:tc>
        <w:tc>
          <w:tcPr>
            <w:tcW w:type="dxa" w:w="432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构建可重复；上电禁止默认输出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P2 无线与状态机</w:t>
            </w:r>
          </w:p>
        </w:tc>
        <w:tc>
          <w:tcPr>
            <w:tcW w:type="dxa" w:w="339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协议适配、有效帧校验、方向互斥、故障超时</w:t>
            </w:r>
          </w:p>
        </w:tc>
        <w:tc>
          <w:tcPr>
            <w:tcW w:type="dxa" w:w="432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模拟数据驱动单测通过，不需要真实吊载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P3 PCBA台架</w:t>
            </w:r>
          </w:p>
        </w:tc>
        <w:tc>
          <w:tcPr>
            <w:tcW w:type="dxa" w:w="339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低压供电、干接点/模拟负载、优先级与时序记录</w:t>
            </w:r>
          </w:p>
        </w:tc>
        <w:tc>
          <w:tcPr>
            <w:tcW w:type="dxa" w:w="432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按冻结验证计划逐项形成原始证据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P4 V2输入</w:t>
            </w:r>
          </w:p>
        </w:tc>
        <w:tc>
          <w:tcPr>
            <w:tcW w:type="dxa" w:w="339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缺陷报告、优化建议、硬件变更申请</w:t>
            </w:r>
          </w:p>
        </w:tc>
        <w:tc>
          <w:tcPr>
            <w:tcW w:type="dxa" w:w="432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按ECN处理，不覆盖冻结版</w:t>
            </w:r>
          </w:p>
        </w:tc>
      </w:tr>
    </w:tbl>
    <w:p>
      <w:pPr>
        <w:spacing w:after="0"/>
      </w:pPr>
    </w:p>
    <w:p>
      <w:pPr>
        <w:pStyle w:val="Heading1"/>
      </w:pPr>
      <w:r>
        <w:t>7. 风险清单与后续演进方向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2434"/>
        <w:gridCol w:w="4536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风险或改进项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本版态度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后续动作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无线快速优先级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软硬件闭环尚不完整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补充WIRED_IDLE采样或硬件门控；未解决前关闭无线快速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有线UP+DN与动态切换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静态组合/时序仍需验证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隔离台架模拟、必要时新增运行互锁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23VAC整流母线和35V电容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保留旧图但有余量疑点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测试前核实最高电压、器件额定及温升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R31/R40/R46/R52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冻结文件仍为3.3kΩ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光耦识别、功率、温升验证后修改阻值/功率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D12/D13/D24的1N4007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旧板保护件标记疑似MAT2/CFX，未鉴定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比较浪涌性能，V2可考虑TVS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保险丝/C5/KM1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实际订货型号/工作等级待确认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380V阶段前校核不可延期</w:t>
            </w:r>
          </w:p>
        </w:tc>
      </w:tr>
      <w:tr>
        <w:trPr>
          <w:cantSplit/>
        </w:trPr>
        <w:tc>
          <w:tcPr>
            <w:tcW w:type="dxa" w:w="25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认证版安全停止</w:t>
            </w:r>
          </w:p>
        </w:tc>
        <w:tc>
          <w:tcPr>
            <w:tcW w:type="dxa" w:w="243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不属于FV1</w:t>
            </w:r>
          </w:p>
        </w:tc>
        <w:tc>
          <w:tcPr>
            <w:tcW w:type="dxa" w:w="45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独立风险评估、硬件双通道/诊断/无线安全</w:t>
            </w:r>
          </w:p>
        </w:tc>
      </w:tr>
    </w:tbl>
    <w:p>
      <w:pPr>
        <w:spacing w:after="0"/>
      </w:pPr>
    </w:p>
    <w:p>
      <w:pPr>
        <w:pStyle w:val="Heading1"/>
      </w:pPr>
      <w:r>
        <w:t>8. 资料依据与版本使用规则</w:t>
      </w:r>
    </w:p>
    <w:p>
      <w:pPr>
        <w:pStyle w:val="ListBullet"/>
        <w:spacing w:after="60"/>
      </w:pPr>
      <w:r>
        <w:t>唯一电子原理图基线：SCH_控制板V1_2026-10-13.pdf</w:t>
      </w:r>
    </w:p>
    <w:p>
      <w:pPr>
        <w:pStyle w:val="ListBullet"/>
        <w:spacing w:after="60"/>
      </w:pPr>
      <w:r>
        <w:t>唯一网表基线：Netlist_控制板V1_2026-10-13.net</w:t>
      </w:r>
    </w:p>
    <w:p>
      <w:pPr>
        <w:pStyle w:val="ListBullet"/>
        <w:spacing w:after="60"/>
      </w:pPr>
      <w:r>
        <w:t>配套参考：电动葫芦控制板_V1冻结基线与PCBA到货验证计划_20261013.pdf</w:t>
      </w:r>
    </w:p>
    <w:p>
      <w:pPr>
        <w:pStyle w:val="ListBullet"/>
        <w:spacing w:after="60"/>
      </w:pPr>
      <w:r>
        <w:t>本项目背景文档是需求与范围描述，不代替原理图、电气定型或带电试验批准。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94" w:bottom="1037" w:left="1094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E5B66"/>
        <w:sz w:val="16"/>
      </w:rPr>
      <w:t xml:space="preserve">FV1.0 冻结依据 · 非量产/CE放行文件  |  第 </w:t>
    </w:r>
    <w:fldSimple w:instr="PAGE"/>
    <w:r>
      <w:rPr>
        <w:color w:val="4E5B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E5B66"/>
        <w:sz w:val="15"/>
      </w:rPr>
      <w:t>HOIST-CTRL-FV1-20261013  /  项目背景  /  研发功能验证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1C37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6A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74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7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E6A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