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79" w:after="280"/>
      </w:pPr>
      <w:r>
        <w:rPr>
          <w:rFonts w:ascii="Aptos Mono" w:hAnsi="Aptos Mono" w:eastAsia="Aptos Mono"/>
          <w:b/>
          <w:color w:val="B7791F"/>
          <w:sz w:val="18"/>
        </w:rPr>
        <w:t>INSTITUTIONAL OPTIONS RISK OPERATING GUIDE</w:t>
      </w:r>
    </w:p>
    <w:p>
      <w:pPr>
        <w:pStyle w:val="Title"/>
        <w:keepNext/>
      </w:pPr>
      <w:r>
        <w:rPr>
          <w:rFonts w:ascii="Arial Unicode MS" w:hAnsi="Arial Unicode MS" w:eastAsia="Arial Unicode MS"/>
        </w:rPr>
        <w:t>黄金对冲分析网站</w:t>
      </w:r>
    </w:p>
    <w:p>
      <w:pPr>
        <w:pStyle w:val="Subtitle"/>
      </w:pPr>
      <w:r>
        <w:rPr>
          <w:rFonts w:ascii="Arial Unicode MS" w:hAnsi="Arial Unicode MS" w:eastAsia="Arial Unicode MS"/>
        </w:rPr>
        <w:t>GLD + XAUT 仓位、风险热力图与对冲决策使用手册</w:t>
      </w:r>
    </w:p>
    <w:p>
      <w:pPr>
        <w:spacing w:before="120" w:after="360"/>
        <w:shd w:fill="FFFFFF"/>
        <w:pBdr>
          <w:left w:val="single" w:sz="20" w:space="8" w:color="B7791F"/>
        </w:pBdr>
      </w:pPr>
    </w:p>
    <w:p>
      <w:pPr>
        <w:spacing w:after="360"/>
      </w:pPr>
      <w:r>
        <w:rPr>
          <w:rFonts w:ascii="Arial Unicode MS" w:hAnsi="Arial Unicode MS" w:eastAsia="Arial Unicode MS"/>
        </w:rPr>
        <w:t>版本：2026-08-14｜适用角色：交易、风险、运营、管理与培训｜系统：DinoSignal Gold Options Hedge</w:t>
      </w:r>
    </w:p>
    <w:p>
      <w:pPr>
        <w:keepLines/>
        <w:spacing w:before="100" w:after="140"/>
        <w:ind w:left="202" w:right="58"/>
        <w:shd w:fill="EDF7F0"/>
        <w:pBdr>
          <w:left w:val="single" w:sz="20" w:space="8" w:color="1F7A4D"/>
        </w:pBdr>
      </w:pPr>
      <w:r>
        <w:rPr>
          <w:rFonts w:ascii="Arial Unicode MS" w:hAnsi="Arial Unicode MS" w:eastAsia="Arial Unicode MS"/>
          <w:b/>
          <w:color w:val="1F7A4D"/>
        </w:rPr>
        <w:t xml:space="preserve">一句话定位  </w:t>
      </w:r>
      <w:r>
        <w:rPr>
          <w:rFonts w:ascii="Arial Unicode MS" w:hAnsi="Arial Unicode MS" w:eastAsia="Arial Unicode MS"/>
        </w:rPr>
        <w:t>把分散在到期日、行权价、标的与数据源中的期权风险，压缩为一个可执行的二维决策界面：先找风险，再判断数据，再决定对冲、减仓、展期或等待。</w:t>
      </w:r>
    </w:p>
    <w:p>
      <w:r>
        <w:rPr>
          <w:rFonts w:ascii="Arial Unicode MS" w:hAnsi="Arial Unicode MS" w:eastAsia="Arial Unicode MS"/>
        </w:rPr>
        <w:t>本手册只把当前已经默认显示的能力写成“可直接使用”；隐藏功能、需要管理员开放的功能和未来路线图均单独标注。市场数据、模型和公式仅为决策支持，不替代交易确认、经纪商合约主数据、资金校验及双人复核。</w:t>
      </w:r>
    </w:p>
    <w:p>
      <w:pPr>
        <w:keepLines/>
        <w:spacing w:before="320"/>
      </w:pPr>
      <w:r>
        <w:rPr>
          <w:rFonts w:ascii="Arial Unicode MS" w:hAnsi="Arial Unicode MS" w:eastAsia="Arial Unicode MS"/>
          <w:b/>
        </w:rPr>
        <w:t>公网入口：</w:t>
      </w:r>
      <w:hyperlink r:id="rId11">
        <w:r>
          <w:rPr>
            <w:color w:val="2E74B5"/>
            <w:u w:val="single"/>
          </w:rPr>
          <w:t>风险热力图</w:t>
        </w:r>
      </w:hyperlink>
      <w:r>
        <w:t xml:space="preserve">  ·  </w:t>
      </w:r>
      <w:hyperlink r:id="rId12">
        <w:r>
          <w:rPr>
            <w:color w:val="2E74B5"/>
            <w:u w:val="single"/>
          </w:rPr>
          <w:t>仓位管理</w:t>
        </w:r>
      </w:hyperlink>
      <w:r>
        <w:t xml:space="preserve">  ·  </w:t>
      </w:r>
      <w:hyperlink r:id="rId13">
        <w:r>
          <w:rPr>
            <w:color w:val="2E74B5"/>
            <w:u w:val="single"/>
          </w:rPr>
          <w:t>设置</w:t>
        </w:r>
      </w:hyperlink>
    </w:p>
    <w:p>
      <w:r>
        <w:br w:type="page"/>
      </w:r>
    </w:p>
    <w:p>
      <w:pPr>
        <w:pStyle w:val="Heading1"/>
      </w:pPr>
      <w:r>
        <w:t>阅读导航</w:t>
      </w:r>
    </w:p>
    <w:p>
      <w:r>
        <w:rPr>
          <w:rFonts w:ascii="Arial Unicode MS" w:hAnsi="Arial Unicode MS" w:eastAsia="Arial Unicode MS"/>
        </w:rPr>
        <w:t>如果只有三分钟，先读第 1、3、4 节；如果要执行日常流程，读第 5、6、8 节；如果要向他人讲解，直接使用第 11 节讲稿；如果要规划下一版，读第 9、10 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50"/>
        <w:gridCol w:w="5100"/>
        <w:gridCol w:w="3110"/>
      </w:tblGrid>
      <w:tr>
        <w:trPr>
          <w:cantSplit w:val="true"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章节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回答的问题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主要读者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1–2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这个系统到底解决什么；边界在哪里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3–4</w:t>
            </w:r>
          </w:p>
        </w:tc>
        <w:tc>
          <w:tcPr>
            <w:tcW w:type="dxa" w:w="5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默认热力图看什么、怎么看、怎么操作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交易 / 风险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5–6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仓位如何导入、数据如何更新、公式如何理解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交易 / 运营 / 量化</w:t>
            </w:r>
          </w:p>
        </w:tc>
      </w:tr>
      <w:tr>
        <w:trPr>
          <w:cantSplit w:val="true"/>
        </w:trPr>
        <w:tc>
          <w:tcPr>
            <w:tcW w:type="dxa" w:w="1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7–8</w:t>
            </w:r>
          </w:p>
        </w:tc>
        <w:tc>
          <w:tcPr>
            <w:tcW w:type="dxa" w:w="5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盘前、盘中、到期日前如何形成标准动作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交易 / 风控负责人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9–10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隐藏能力、当前问题与升级路线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量化 / 技术 / 管理层</w:t>
            </w:r>
          </w:p>
        </w:tc>
      </w:tr>
      <w:tr>
        <w:trPr>
          <w:cantSplit w:val="true"/>
        </w:trPr>
        <w:tc>
          <w:tcPr>
            <w:tcW w:type="dxa" w:w="1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11–12</w:t>
            </w:r>
          </w:p>
        </w:tc>
        <w:tc>
          <w:tcPr>
            <w:tcW w:type="dxa" w:w="5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四类讲解稿与第一性原理总结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培训 / 汇报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附录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术语、默认值、检查清单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日常查阅</w:t>
            </w:r>
          </w:p>
        </w:tc>
      </w:tr>
    </w:tbl>
    <w:p>
      <w:pPr>
        <w:spacing w:after="0"/>
      </w:pPr>
    </w:p>
    <w:p>
      <w:pPr>
        <w:pStyle w:val="Heading1"/>
      </w:pPr>
      <w:r>
        <w:t>1. 重点先看：它对交易与对冲有什么帮助</w:t>
      </w:r>
    </w:p>
    <w:p>
      <w:pPr>
        <w:pStyle w:val="Heading2"/>
      </w:pPr>
      <w:r>
        <w:t>1.1 六个最重要的帮助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把复杂风险压缩成一张图。Expiry × Strike 是期权风险最自然的坐标；颜色编码当前 Metric，白色边框标出真实持仓，交易员无需逐行读表就能看到风险集中区。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同时区分“单张风险”和“仓位风险”。Unit Delta 告诉你一张合约对价格的局部敏感度；Total Delta 把数量、合约乘数和黄金换算纳入，避免把 0.80 × 1 张误认为比 0.05 × 1,000 张更重要。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把风险放回市场位置。Spot 数值精确到两位小数，并映射到最近 Strike；当 Spot 越界时仍显示 Above/Below Range，使 ITM/ATM/OTM 位置不会因坐标范围而丢失。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把数据质量变成风险的一部分。MISSING、STALE、WARN、FAIL 不会静默变成 0；若所选 Metric 的计算链遇到缺失，方格保留可交易边框但不参与色标。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让比较具有统一规则。默认绿—黄—红色标表达低—中—高；数量与名义本金只在真实持仓之间比较，避免完整期权链中的零仓位稀释色阶。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形成可复核的操作链。Excel 导入或手工维护仓位后，更新市场数据、读热力图、Hover 核验、点击看详情、导出更新后的持仓，构成同一套可追溯流程。</w:t>
      </w:r>
    </w:p>
    <w:p>
      <w:pPr>
        <w:keepLines/>
        <w:spacing w:before="100" w:after="140"/>
        <w:ind w:left="202" w:right="58"/>
        <w:shd w:fill="E8EEF5"/>
        <w:pBdr>
          <w:left w:val="single" w:sz="20" w:space="8" w:color="2E74B5"/>
        </w:pBdr>
      </w:pPr>
      <w:r>
        <w:rPr>
          <w:rFonts w:ascii="Arial Unicode MS" w:hAnsi="Arial Unicode MS" w:eastAsia="Arial Unicode MS"/>
          <w:b/>
          <w:color w:val="2E74B5"/>
        </w:rPr>
        <w:t xml:space="preserve">交易员的三秒钟问题  </w:t>
      </w:r>
      <w:r>
        <w:rPr>
          <w:rFonts w:ascii="Arial Unicode MS" w:hAnsi="Arial Unicode MS" w:eastAsia="Arial Unicode MS"/>
        </w:rPr>
        <w:t>现在风险最大在哪里？这个颜色是仓位规模、Delta 还是波动率？Spot 离该 Strike 多远？这个数据够不够新、够不够完整？</w:t>
      </w:r>
    </w:p>
    <w:p>
      <w:pPr>
        <w:pStyle w:val="Heading2"/>
      </w:pPr>
      <w:r>
        <w:t>1.2 它不是什么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不是自动下单系统：热力图给出风险排序和上下文，不代表交易指令。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不是经纪商账本：网站仓位必须与券商、交易所或托管对账，尤其是 adjusted contract、行权与交割。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不是绝对实时保证：速度取决于数据授权和上游接口；页面时间戳与状态必须先于数值解读。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不是全模型真值：Greeks 与情景重估依赖输入、定价模型和约定，极端行情下需结合流动性、跳跃和波动率曲面。</w:t>
      </w:r>
    </w:p>
    <w:p>
      <w:pPr>
        <w:pStyle w:val="Heading1"/>
      </w:pPr>
      <w:r>
        <w:t>2. 系统定位与当前默认信息架构</w:t>
      </w:r>
    </w:p>
    <w:p>
      <w:r>
        <w:rPr>
          <w:rFonts w:ascii="Arial Unicode MS" w:hAnsi="Arial Unicode MS" w:eastAsia="Arial Unicode MS"/>
        </w:rPr>
        <w:t>当前默认导航只展示三个入口：风险热力图、仓位管理、设置。风险热力图和仓位管理用于日常交易；设置用于管理默认筛选项、标签、Hover、详情弹窗和页面入口。其他页面属于可选能力，默认隐藏或受管理员密码保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900"/>
        <w:gridCol w:w="3960"/>
      </w:tblGrid>
      <w:tr>
        <w:trPr>
          <w:cantSplit w:val="true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默认入口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核心任务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风险热力图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识别风险簇、Spot 位置、持仓/可交易合约、缺失数据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能定位最重要格子并说清其 Metric、数据状态与下一步</w:t>
            </w:r>
          </w:p>
        </w:tc>
      </w:tr>
      <w:tr>
        <w:trPr>
          <w:cantSplit w:val="true"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仓位管理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录入、Excel 导入、刷新、核对与导出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网站与来源仓位一致，更新后计算和导出同步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决定热力图上能看到什么、页面入口和安全开关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默认界面足够简洁，同时保留按角色开放能力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202" w:right="58"/>
        <w:shd w:fill="EDF7F0"/>
        <w:pBdr>
          <w:left w:val="single" w:sz="20" w:space="8" w:color="1F7A4D"/>
        </w:pBdr>
      </w:pPr>
      <w:r>
        <w:rPr>
          <w:rFonts w:ascii="Arial Unicode MS" w:hAnsi="Arial Unicode MS" w:eastAsia="Arial Unicode MS"/>
          <w:b/>
          <w:color w:val="1F7A4D"/>
        </w:rPr>
        <w:t xml:space="preserve">默认展示原则  </w:t>
      </w:r>
      <w:r>
        <w:rPr>
          <w:rFonts w:ascii="Arial Unicode MS" w:hAnsi="Arial Unicode MS" w:eastAsia="Arial Unicode MS"/>
        </w:rPr>
        <w:t>默认值优先服务快速决策：GLD、Call、Notional Size、无数字标签、Risk Hover；更复杂的筛选、情景、卡片和错误榜单不占据首屏。</w:t>
      </w:r>
    </w:p>
    <w:p>
      <w:pPr>
        <w:pStyle w:val="Heading1"/>
      </w:pPr>
      <w:r>
        <w:t>3. 风险热力图：默认屏幕如何读</w:t>
      </w:r>
    </w:p>
    <w:p>
      <w:pPr>
        <w:pStyle w:val="Heading2"/>
      </w:pPr>
      <w:r>
        <w:t>3.1 坐标与视觉语法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横轴是 Expiry，到期日由左向右展开；纵轴是 Strike，默认按低到高排列。每个格子代表一个 Expiry × Strike 聚合单元。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背景色表达当前选择的 Metric：默认由低值绿色、中心黄色到高值红色。颜色只回答“相对大小”，具体数值由标签、Hover 或详情确认。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白色较粗实线边框代表有真实持仓；青色细实线代表期权链中可交易但没有持仓的合约。边框不覆盖背景色判断。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持仓格可显示 G/X（GLD/XAUT）、C/P（Call/Put）与 L/S/W/M/F（数据状态）角标；具体显示项由设置页控制。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Spot 在最近 Strike 轴线上显示，数值固定为两位小数；Spot 超出当前 Strike 范围时，顶部显示 Above Range 或 Below Range，并可 Center Spot。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如果一个可交易格子的所选 Metric 缺少必要输入，该格仍有四边实线，但背景留空且不参加色标，不能把空白误读为低风险。</w:t>
      </w:r>
    </w:p>
    <w:p>
      <w:pPr>
        <w:pStyle w:val="Heading2"/>
      </w:pPr>
      <w:r>
        <w:t>3.2 默认控件与正确用法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80"/>
        <w:gridCol w:w="950"/>
        <w:gridCol w:w="3000"/>
        <w:gridCol w:w="4230"/>
      </w:tblGrid>
      <w:tr>
        <w:trPr>
          <w:cantSplit w:val="true"/>
          <w:tblHeader w:val="true"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控件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默认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它回答什么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典型动作</w:t>
            </w:r>
          </w:p>
        </w:tc>
      </w:tr>
      <w:tr>
        <w:trPr>
          <w:cantSplit w:val="true"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Underlying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GLD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看哪个标的的风险面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切到 XAUT 比较同一 Metric；固定色标后再横向比较</w:t>
            </w:r>
          </w:p>
        </w:tc>
      </w:tr>
      <w:tr>
        <w:trPr>
          <w:cantSplit w:val="true"/>
        </w:trPr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C/P</w:t>
            </w:r>
          </w:p>
        </w:tc>
        <w:tc>
          <w:tcPr>
            <w:tcW w:type="dxa" w:w="9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Call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看 Call 或 Put</w:t>
            </w:r>
          </w:p>
        </w:tc>
        <w:tc>
          <w:tcPr>
            <w:tcW w:type="dxa" w:w="4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分别看两侧风险，不把符号与结构混在一起</w:t>
            </w:r>
          </w:p>
        </w:tc>
      </w:tr>
      <w:tr>
        <w:trPr>
          <w:cantSplit w:val="true"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Metric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Notional Size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颜色到底代表什么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先看规模，再切 Total Delta、Unit Delta 与 IV</w:t>
            </w:r>
          </w:p>
        </w:tc>
      </w:tr>
      <w:tr>
        <w:trPr>
          <w:cantSplit w:val="true"/>
        </w:trPr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Label</w:t>
            </w:r>
          </w:p>
        </w:tc>
        <w:tc>
          <w:tcPr>
            <w:tcW w:type="dxa" w:w="9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None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哪些格子直接显示数字</w:t>
            </w:r>
          </w:p>
        </w:tc>
        <w:tc>
          <w:tcPr>
            <w:tcW w:type="dxa" w:w="4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Held Metric 只标持仓；Top/Bottom 15% 仅按需开启</w:t>
            </w:r>
          </w:p>
        </w:tc>
      </w:tr>
      <w:tr>
        <w:trPr>
          <w:cantSplit w:val="true"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Hover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Risk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鼠标经过展示哪组字段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快速核验 Unit Delta、Total Delta 与所选 Metric</w:t>
            </w:r>
          </w:p>
        </w:tc>
      </w:tr>
      <w:tr>
        <w:trPr>
          <w:cantSplit w:val="true"/>
        </w:trPr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Range</w:t>
            </w:r>
          </w:p>
        </w:tc>
        <w:tc>
          <w:tcPr>
            <w:tcW w:type="dxa" w:w="9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自动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当前色标上下限</w:t>
            </w:r>
          </w:p>
        </w:tc>
        <w:tc>
          <w:tcPr>
            <w:tcW w:type="dxa" w:w="4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跨 GLD/XAUT 比较时固定同一 Metric 的上下限</w:t>
            </w:r>
          </w:p>
        </w:tc>
      </w:tr>
      <w:tr>
        <w:trPr>
          <w:cantSplit w:val="true"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Strike 排序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升序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纵轴方向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按个人读图习惯反转，不改变数值</w:t>
            </w:r>
          </w:p>
        </w:tc>
      </w:tr>
      <w:tr>
        <w:trPr>
          <w:cantSplit w:val="true"/>
        </w:trPr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方格尺寸</w:t>
            </w:r>
          </w:p>
        </w:tc>
        <w:tc>
          <w:tcPr>
            <w:tcW w:type="dxa" w:w="9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紧凑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细节与全局的取舍</w:t>
            </w:r>
          </w:p>
        </w:tc>
        <w:tc>
          <w:tcPr>
            <w:tcW w:type="dxa" w:w="4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缩小看全貌，放大做逐格核查</w:t>
            </w:r>
          </w:p>
        </w:tc>
      </w:tr>
      <w:tr>
        <w:trPr>
          <w:cantSplit w:val="true"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Fit All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可见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是否尽量一屏装下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先全景找热点，再退出 Fit All 放大</w:t>
            </w:r>
          </w:p>
        </w:tc>
      </w:tr>
      <w:tr>
        <w:trPr>
          <w:cantSplit w:val="true"/>
        </w:trPr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Full Screen</w:t>
            </w:r>
          </w:p>
        </w:tc>
        <w:tc>
          <w:tcPr>
            <w:tcW w:type="dxa" w:w="9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可见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是否扩大有效画布</w:t>
            </w:r>
          </w:p>
        </w:tc>
        <w:tc>
          <w:tcPr>
            <w:tcW w:type="dxa" w:w="423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会议、盘中监控和 100+ 合约时使用</w:t>
            </w:r>
          </w:p>
        </w:tc>
      </w:tr>
    </w:tbl>
    <w:p>
      <w:pPr>
        <w:spacing w:after="0"/>
      </w:pPr>
    </w:p>
    <w:p>
      <w:pPr>
        <w:pStyle w:val="Heading2"/>
      </w:pPr>
      <w:r>
        <w:t>3.3 默认可选 Metric：不要混淆问题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3300"/>
        <w:gridCol w:w="1500"/>
        <w:gridCol w:w="3110"/>
      </w:tblGrid>
      <w:tr>
        <w:trPr>
          <w:cantSplit w:val="true"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Metric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业务含义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色标范围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最适合回答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Notional Size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Qty × 标的现价 × 每张对应标的数量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只用真实持仓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哪一腿对应的标的名义本金最大</w:t>
            </w:r>
          </w:p>
        </w:tc>
      </w:tr>
      <w:tr>
        <w:trPr>
          <w:cantSplit w:val="true"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Qty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净持仓数量；热力图按绝对值比较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只用真实持仓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风险是否主要来自仓位数量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Unit Delta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每单位期权对标的价格变化的一阶敏感度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可用合约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哪一张合约最接近方向性敞口</w:t>
            </w:r>
          </w:p>
        </w:tc>
      </w:tr>
      <w:tr>
        <w:trPr>
          <w:cantSplit w:val="true"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Total Delta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Unit Delta × Qty × 合约乘数 × 黄金换算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有值的合约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真实仓位的黄金方向风险集中在哪里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Mark IV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Mark Price 对应的隐含波动率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有有效 IV 的合约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波动率曲面哪里贵/便宜或异常</w:t>
            </w:r>
          </w:p>
        </w:tc>
      </w:tr>
      <w:tr>
        <w:trPr>
          <w:cantSplit w:val="true"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Bid IV / Ask IV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买一/卖一对应的隐含波动率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有有效 IV 的合约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两侧报价隐波与可成交区间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Ask-Bid IV Spread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Ask IV − Bid IV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有双边 IV 的合约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哪一段波动率流动性最差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202" w:right="58"/>
        <w:shd w:fill="E8EEF5"/>
        <w:pBdr>
          <w:left w:val="single" w:sz="20" w:space="8" w:color="2E74B5"/>
        </w:pBdr>
      </w:pPr>
      <w:r>
        <w:rPr>
          <w:rFonts w:ascii="Arial Unicode MS" w:hAnsi="Arial Unicode MS" w:eastAsia="Arial Unicode MS"/>
          <w:b/>
          <w:color w:val="2E74B5"/>
        </w:rPr>
        <w:t xml:space="preserve">本次新增  </w:t>
      </w:r>
      <w:r>
        <w:rPr>
          <w:rFonts w:ascii="Arial Unicode MS" w:hAnsi="Arial Unicode MS" w:eastAsia="Arial Unicode MS"/>
        </w:rPr>
        <w:t>Label 中新增 Bottom 15%。Top 15% 与 Bottom 15% 默认都隐藏，需先在设置页开放；排名按当前 Metric 的绝对值，并排除 MISSING。</w:t>
      </w:r>
    </w:p>
    <w:p>
      <w:pPr>
        <w:pStyle w:val="Heading1"/>
      </w:pPr>
      <w:r>
        <w:t>4. 热力图标准使用法</w:t>
      </w:r>
    </w:p>
    <w:p>
      <w:pPr>
        <w:pStyle w:val="Heading2"/>
      </w:pPr>
      <w:r>
        <w:t>4.1 开盘前：90 秒建立风险地图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确认顶部市场数据更新时间和状态。先看 Source / As-of / STALE / MISSING，再看颜色；数据不可信时停止交易结论。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保持默认 GLD + Call + Notional Size。找白色边框中的红色或黄色聚集区，确认名义规模集中在哪些 Expiry × Strike。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切换到 Total Delta。识别仓位真实方向风险是否与名义规模一致；若不一致，通常来自不同 Delta、数量或合约乘数。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切换 Unit Delta。区分“合约本身敏感”与“因为 Qty 大而总风险大”。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切换 Mark IV、Bid IV、Ask IV 与 IV Spread。检查风险集中区是否同时流动性差或隐波异常。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核对 Spot 两位小数及最近 Strike，判断风险簇处于 ITM、ATM 还是 OTM 附近。</w:t>
      </w:r>
    </w:p>
    <w:p>
      <w:pPr>
        <w:pStyle w:val="ListNumber"/>
        <w:numPr>
          <w:ilvl w:val="0"/>
          <w:numId w:val="12"/>
        </w:numPr>
      </w:pPr>
      <w:r>
        <w:rPr>
          <w:rFonts w:ascii="Arial Unicode MS" w:hAnsi="Arial Unicode MS" w:eastAsia="Arial Unicode MS"/>
        </w:rPr>
        <w:t>切到 Put，再按同样顺序检查；最后切 XAUT。需要跨标的比较时，为同一 Metric 使用相同的固定上下限。</w:t>
      </w:r>
    </w:p>
    <w:p>
      <w:pPr>
        <w:pStyle w:val="Heading2"/>
      </w:pPr>
      <w:r>
        <w:t>4.2 从颜色到动作：六步证据链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</w:rPr>
        <w:t>定位：找到白框高色阶格，或可交易链上的异常 IV/Spread 格。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</w:rPr>
        <w:t>识别：确认 Underlying、Call/Put、Expiry、Strike 与 Spot 位置。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</w:rPr>
        <w:t>核数：Hover 查看所选 Metric、Unit Delta、Total Delta 和数据状态。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</w:rPr>
        <w:t>下钻：点击格子查看完整详情，包括 Entry Price、Mark、Bid/Ask、数量、Greeks、价值和盈亏字段。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</w:rPr>
        <w:t>对比：切换一个互补 Metric，例如 Notional → Total Delta，Mark IV → IV Spread。</w:t>
      </w:r>
    </w:p>
    <w:p>
      <w:pPr>
        <w:pStyle w:val="ListNumber"/>
        <w:numPr>
          <w:ilvl w:val="0"/>
          <w:numId w:val="13"/>
        </w:numPr>
      </w:pPr>
      <w:r>
        <w:rPr>
          <w:rFonts w:ascii="Arial Unicode MS" w:hAnsi="Arial Unicode MS" w:eastAsia="Arial Unicode MS"/>
        </w:rPr>
        <w:t>行动：记录 HOLD / CLOSE / ROLL / HEDGE / VERIFY DATA；真正下单前在券商侧复核合约、资金、报价和权限。</w:t>
      </w:r>
    </w:p>
    <w:p>
      <w:pPr>
        <w:keepLines/>
        <w:spacing w:before="100" w:after="140"/>
        <w:ind w:left="202" w:right="58"/>
        <w:shd w:fill="FFF4E5"/>
        <w:pBdr>
          <w:left w:val="single" w:sz="20" w:space="8" w:color="B7791F"/>
        </w:pBdr>
      </w:pPr>
      <w:r>
        <w:rPr>
          <w:rFonts w:ascii="Arial Unicode MS" w:hAnsi="Arial Unicode MS" w:eastAsia="Arial Unicode MS"/>
          <w:b/>
          <w:color w:val="B7791F"/>
        </w:rPr>
        <w:t xml:space="preserve">纪律  </w:t>
      </w:r>
      <w:r>
        <w:rPr>
          <w:rFonts w:ascii="Arial Unicode MS" w:hAnsi="Arial Unicode MS" w:eastAsia="Arial Unicode MS"/>
        </w:rPr>
        <w:t>颜色负责排序，不负责定论。任何交易动作至少要同时满足：合约识别正确、数据状态合格、风险口径明确、流动性可接受、资金和审批可执行。</w:t>
      </w:r>
    </w:p>
    <w:p>
      <w:pPr>
        <w:pStyle w:val="Heading2"/>
      </w:pPr>
      <w:r>
        <w:t>4.3 Label 怎么用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None：默认。最适合 100–200 条仓位或完整期权链，避免数字爆炸。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Held Metric：只在持仓格显示当前 Metric，适合盘中盯仓。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Top 15%：只显示当前 Metric 绝对值最高的 15%，适合寻找峰值。默认在设置页隐藏。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Bottom 15%：只显示当前 Metric 绝对值最低的 15%，适合找低敏感、低规模或低 IV 区域。默认在设置页隐藏。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All：显示所有有值格。只建议在小范围、放大方格或做逐项复核时使用。</w:t>
      </w:r>
    </w:p>
    <w:p>
      <w:pPr>
        <w:keepLines/>
        <w:spacing w:before="100" w:after="140"/>
        <w:ind w:left="202" w:right="58"/>
        <w:shd w:fill="FDECEC"/>
        <w:pBdr>
          <w:left w:val="single" w:sz="20" w:space="8" w:color="9B1C1C"/>
        </w:pBdr>
      </w:pPr>
      <w:r>
        <w:rPr>
          <w:rFonts w:ascii="Arial Unicode MS" w:hAnsi="Arial Unicode MS" w:eastAsia="Arial Unicode MS"/>
          <w:b/>
          <w:color w:val="9B1C1C"/>
        </w:rPr>
        <w:t xml:space="preserve">Bottom 15% 的陷阱  </w:t>
      </w:r>
      <w:r>
        <w:rPr>
          <w:rFonts w:ascii="Arial Unicode MS" w:hAnsi="Arial Unicode MS" w:eastAsia="Arial Unicode MS"/>
        </w:rPr>
        <w:t>低值不等于低风险。Total Delta 很低可能是对冲抵消，也可能是数据缺失已被排除；Mark IV 很低可能是深度价内外、报价异常或模型输入问题。</w:t>
      </w:r>
    </w:p>
    <w:p>
      <w:pPr>
        <w:pStyle w:val="Heading1"/>
      </w:pPr>
      <w:r>
        <w:t>5. 仓位管理：输入、更新、导出</w:t>
      </w:r>
    </w:p>
    <w:p>
      <w:pPr>
        <w:pStyle w:val="Heading2"/>
      </w:pPr>
      <w:r>
        <w:t>5.1 推荐主流程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</w:rPr>
        <w:t>准备符合模板的 GLD/XAUT 持仓 Excel。Instrument、Underlying、Expiry、Strike、Call/Put、Qty、Multiplier、价格、费用和 Greeks 按列填写；Total 汇总行不当作单腿期权。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</w:rPr>
        <w:t>在仓位管理页上传 Excel，先查看解析预览、识别出的标的和异常字段，再确认合并。不要把未识别日期、空 Strike 或错误 Call/Put 直接写入。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</w:rPr>
        <w:t>核对导入后的持仓数、GLD/XAUT 分类、Expiry、Strike、Net Qty、Multiplier XAU 与 Entry Price。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</w:rPr>
        <w:t>点击更新市场数据。系统刷新 Mark、Bid/Ask、IV 与相关计算；所有页面共享更新后的仓位数据。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</w:rPr>
        <w:t>回到风险热力图按第 4 节流程检查；若数据状态为 MISSING/STALE/WARN/FAIL，先处理数据再交易。</w:t>
      </w:r>
    </w:p>
    <w:p>
      <w:pPr>
        <w:pStyle w:val="ListNumber"/>
        <w:numPr>
          <w:ilvl w:val="0"/>
          <w:numId w:val="14"/>
        </w:numPr>
      </w:pPr>
      <w:r>
        <w:rPr>
          <w:rFonts w:ascii="Arial Unicode MS" w:hAnsi="Arial Unicode MS" w:eastAsia="Arial Unicode MS"/>
        </w:rPr>
        <w:t>导出当前持仓 Excel。导出值应包含更新后的市场数据、价值、盈亏和计算字段，用于留档或复核。</w:t>
      </w:r>
    </w:p>
    <w:p>
      <w:pPr>
        <w:pStyle w:val="Heading2"/>
      </w:pPr>
      <w:r>
        <w:t>5.2 Excel 字段的业务口径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Qty Long、Qty Short 与 Net Qty：Net Qty 是净数量；系统风险以净数量为核心，但对运营对账应保留多空原始列。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Market Value：当前 Mark 对应的仓位价值；Entry Value：买入均价对应的仓位价值；Fee 纳入 Entry Cost。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Multiplier XAU：把 GLD 或 XAUT 统一换算为黄金单位。GLD 默认参数可在设置页调整，但 adjusted deliverable 必须服从合约主数据。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BS Delta XAU、Gamma、Theta USD/day、Vega USD/vol：模板给出的是仓位总量时，系统需要反推或保存 Unit Greeks；缺少必要分母时不能默认为 0。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Reference Date、quoteTime、positionTime、source、dataStatus：共同回答数据属于哪一天、何时更新、从哪里来、能否使用。</w:t>
      </w:r>
    </w:p>
    <w:p>
      <w:pPr>
        <w:keepLines/>
        <w:spacing w:before="100" w:after="140"/>
        <w:ind w:left="202" w:right="58"/>
        <w:shd w:fill="FDECEC"/>
        <w:pBdr>
          <w:left w:val="single" w:sz="20" w:space="8" w:color="9B1C1C"/>
        </w:pBdr>
      </w:pPr>
      <w:r>
        <w:rPr>
          <w:rFonts w:ascii="Arial Unicode MS" w:hAnsi="Arial Unicode MS" w:eastAsia="Arial Unicode MS"/>
          <w:b/>
          <w:color w:val="9B1C1C"/>
        </w:rPr>
        <w:t xml:space="preserve">Render 部署提醒  </w:t>
      </w:r>
      <w:r>
        <w:rPr>
          <w:rFonts w:ascii="Arial Unicode MS" w:hAnsi="Arial Unicode MS" w:eastAsia="Arial Unicode MS"/>
        </w:rPr>
        <w:t>当前部署若使用临时文件存储，重新部署可能清空服务端 JSON 仓位。生产环境必须迁移到持久数据库与对象存储，并保留导入文件哈希和审计记录。</w:t>
      </w:r>
    </w:p>
    <w:p>
      <w:pPr>
        <w:pStyle w:val="Heading1"/>
      </w:pPr>
      <w:r>
        <w:t>6. 风险计算定义与交易含义</w:t>
      </w:r>
    </w:p>
    <w:p>
      <w:pPr>
        <w:pStyle w:val="Heading2"/>
      </w:pPr>
      <w:r>
        <w:t>6.1 价值与盈亏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Entry Cost = Entry Price × Net Qty × Contract Multiplier + Fee</w:t>
      </w:r>
      <w:r>
        <w:rPr>
          <w:rFonts w:ascii="Arial Unicode MS" w:hAnsi="Arial Unicode MS" w:eastAsia="Arial Unicode MS"/>
          <w:color w:val="536273"/>
          <w:sz w:val="18"/>
        </w:rPr>
        <w:br/>
        <w:t>买入成本口径；费用正负号应按账务规范统一。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Current Value = Mark Price × Net Qty × Contract Multiplier</w:t>
      </w:r>
      <w:r>
        <w:rPr>
          <w:rFonts w:ascii="Arial Unicode MS" w:hAnsi="Arial Unicode MS" w:eastAsia="Arial Unicode MS"/>
          <w:color w:val="536273"/>
          <w:sz w:val="18"/>
        </w:rPr>
        <w:br/>
        <w:t>当前估值。负仓位自然产生负市场价值，展示和排序时需明确使用 signed 还是 absolute。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UPL = Current Value − Entry Cost</w:t>
      </w:r>
      <w:r>
        <w:rPr>
          <w:rFonts w:ascii="Arial Unicode MS" w:hAnsi="Arial Unicode MS" w:eastAsia="Arial Unicode MS"/>
          <w:color w:val="536273"/>
          <w:sz w:val="18"/>
        </w:rPr>
        <w:br/>
        <w:t>未实现盈亏；若入场与当前货币不同，还需增加 FX 换算。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UPL % = UPL ÷ Entry Cost</w:t>
      </w:r>
      <w:r>
        <w:rPr>
          <w:rFonts w:ascii="Arial Unicode MS" w:hAnsi="Arial Unicode MS" w:eastAsia="Arial Unicode MS"/>
          <w:color w:val="536273"/>
          <w:sz w:val="18"/>
        </w:rPr>
        <w:br/>
        <w:t>当 Entry Cost 为 0 或接近 0 时必须显示 MISSING/WARN，不能产生无穷或伪百分比。</w:t>
      </w:r>
    </w:p>
    <w:p>
      <w:pPr>
        <w:pStyle w:val="Heading2"/>
      </w:pPr>
      <w:r>
        <w:t>6.2 Notional Size 公式是否正确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Notional Size = Net Qty × Underlying Spot × Units of Underlying per Contract</w:t>
      </w:r>
      <w:r>
        <w:rPr>
          <w:rFonts w:ascii="Arial Unicode MS" w:hAnsi="Arial Unicode MS" w:eastAsia="Arial Unicode MS"/>
          <w:color w:val="536273"/>
          <w:sz w:val="18"/>
        </w:rPr>
        <w:br/>
        <w:t>这个公式作为“标的名义本金”是正确的。GLD 的 Units 是实际可交割 shares；XAUT 的 Units 必须来自实时合约规格。热力图比较使用绝对值，明细保留方向符号。</w:t>
      </w:r>
    </w:p>
    <w:p>
      <w:r>
        <w:rPr>
          <w:rFonts w:ascii="Arial Unicode MS" w:hAnsi="Arial Unicode MS" w:eastAsia="Arial Unicode MS"/>
        </w:rPr>
        <w:t>注意：Notional 不是期权市值，也不是最大亏损，更不是 Delta-equivalent exposure。它回答“这腿对应多少标的资产”，Total Delta 才回答局部价格变动下的一阶风险。</w:t>
      </w:r>
    </w:p>
    <w:p>
      <w:pPr>
        <w:pStyle w:val="Heading2"/>
      </w:pPr>
      <w:r>
        <w:t>6.3 Greeks 统一为 XAU / USD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Spot Scale = Underlying Spot ÷ XAU/USD Spot</w:t>
      </w:r>
      <w:r>
        <w:rPr>
          <w:rFonts w:ascii="Arial Unicode MS" w:hAnsi="Arial Unicode MS" w:eastAsia="Arial Unicode MS"/>
          <w:color w:val="536273"/>
          <w:sz w:val="18"/>
        </w:rPr>
        <w:br/>
        <w:t>把 GLD 或 XAUT 的标的单位映射为黄金单位；实际生产应优先使用合约主数据和当日 GLD ounces/share。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Total Delta XAU = Unit Delta × Qty × Contract Multiplier × Spot Scale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Total Gamma XAU = Unit Gamma × Qty × Contract Multiplier × Spot Scale²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Total Theta USD/day = Unit Theta × Qty × Contract Multiplier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Total Vega USD/vol = Unit Vega × Qty × Contract Multiplier</w:t>
      </w:r>
    </w:p>
    <w:p>
      <w:r>
        <w:rPr>
          <w:rFonts w:ascii="Arial Unicode MS" w:hAnsi="Arial Unicode MS" w:eastAsia="Arial Unicode MS"/>
        </w:rPr>
        <w:t>单位必须写清：某些供应商 Vega 定义为 IV 变化 1.00，某些定义为 1 vol point（0.01）；Theta 可能按自然日或交易日。跨源汇总前必须标准化，否则同名字段不能直接相加。</w:t>
      </w:r>
    </w:p>
    <w:p>
      <w:pPr>
        <w:pStyle w:val="Heading2"/>
      </w:pPr>
      <w:r>
        <w:t>6.4 单元格聚合与缺失规则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一个 Expiry × Strike 可能包含多个合约或仓位。Unit Delta、IV、IV Spread 等取代表性的最大绝对值；Total Delta、Gamma、Theta、Vega、MV、UPL、Qty、Notional 等按业务口径聚合。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Qty 与 Notional 的色标只由持仓格生成，完整链中的未持仓合约不参与上下限。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所选 Metric 需要的任何关键输入缺失，则该格 Metric 为 null；不染色、不打分，但保留可交易实线边框。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Top/Bottom 15% 只对有有限数值的格子按绝对值分位数计算，MISSING 不会被当作 0 放入 Bottom 15%。</w:t>
      </w:r>
    </w:p>
    <w:p>
      <w:pPr>
        <w:pStyle w:val="Heading2"/>
      </w:pPr>
      <w:r>
        <w:t>6.5 色标算法</w:t>
      </w:r>
    </w:p>
    <w:p>
      <w:r>
        <w:rPr>
          <w:rFonts w:ascii="Arial Unicode MS" w:hAnsi="Arial Unicode MS" w:eastAsia="Arial Unicode MS"/>
        </w:rPr>
        <w:t>默认色标是顺序风险刻度：低值绿色，中间值黄色，高值红色。系统还支持分位数、对数和零中心等缩放模式，但默认界面隐藏复杂选项。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Quantile：按分位数映射，默认对极端值做 99th percentile clipping，适合厚尾仓位分布。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Log：压缩数量级，适合 50 与 1,000 这类跨度明显的数据，同时保留差异。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Symmetric zero-centered：以 0 为中心，适合 signed PnL 或 Delta；正负方向都重要时使用。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Custom Range：为每个 Metric 单独保存上下限。跨 GLD/XAUT 做同一口径比较时，必须使用相同上下限。</w:t>
      </w:r>
    </w:p>
    <w:p>
      <w:pPr>
        <w:pStyle w:val="Heading1"/>
      </w:pPr>
      <w:r>
        <w:t>7. 交易与对冲场景 SOP</w:t>
      </w:r>
    </w:p>
    <w:p>
      <w:pPr>
        <w:pStyle w:val="Heading2"/>
      </w:pPr>
      <w:r>
        <w:t>7.1 盘中 Spot 快速移动</w:t>
      </w:r>
    </w:p>
    <w:p>
      <w:pPr>
        <w:pStyle w:val="ListNumber"/>
        <w:numPr>
          <w:ilvl w:val="0"/>
          <w:numId w:val="15"/>
        </w:numPr>
      </w:pPr>
      <w:r>
        <w:rPr>
          <w:rFonts w:ascii="Arial Unicode MS" w:hAnsi="Arial Unicode MS" w:eastAsia="Arial Unicode MS"/>
        </w:rPr>
        <w:t>确认 Spot 两位小数和更新时间，不用旧 Spot 解释新风险。</w:t>
      </w:r>
    </w:p>
    <w:p>
      <w:pPr>
        <w:pStyle w:val="ListNumber"/>
        <w:numPr>
          <w:ilvl w:val="0"/>
          <w:numId w:val="15"/>
        </w:numPr>
      </w:pPr>
      <w:r>
        <w:rPr>
          <w:rFonts w:ascii="Arial Unicode MS" w:hAnsi="Arial Unicode MS" w:eastAsia="Arial Unicode MS"/>
        </w:rPr>
        <w:t>看 Total Delta，定位方向风险最大的持仓格；再看 Unit Delta，判断是合约敏感度还是 Qty 导致。</w:t>
      </w:r>
    </w:p>
    <w:p>
      <w:pPr>
        <w:pStyle w:val="ListNumber"/>
        <w:numPr>
          <w:ilvl w:val="0"/>
          <w:numId w:val="15"/>
        </w:numPr>
      </w:pPr>
      <w:r>
        <w:rPr>
          <w:rFonts w:ascii="Arial Unicode MS" w:hAnsi="Arial Unicode MS" w:eastAsia="Arial Unicode MS"/>
        </w:rPr>
        <w:t>看 IV Spread，排除“风险最大但无法经济成交”的假动作。</w:t>
      </w:r>
    </w:p>
    <w:p>
      <w:pPr>
        <w:pStyle w:val="ListNumber"/>
        <w:numPr>
          <w:ilvl w:val="0"/>
          <w:numId w:val="15"/>
        </w:numPr>
      </w:pPr>
      <w:r>
        <w:rPr>
          <w:rFonts w:ascii="Arial Unicode MS" w:hAnsi="Arial Unicode MS" w:eastAsia="Arial Unicode MS"/>
        </w:rPr>
        <w:t>检查最近到期日与资金约束；如果 Spot 穿越 Strike，重新评估行权、Gamma 和流动性。</w:t>
      </w:r>
    </w:p>
    <w:p>
      <w:pPr>
        <w:pStyle w:val="ListNumber"/>
        <w:numPr>
          <w:ilvl w:val="0"/>
          <w:numId w:val="15"/>
        </w:numPr>
      </w:pPr>
      <w:r>
        <w:rPr>
          <w:rFonts w:ascii="Arial Unicode MS" w:hAnsi="Arial Unicode MS" w:eastAsia="Arial Unicode MS"/>
        </w:rPr>
        <w:t>形成候选对冲：现货/期货/期权；比较残余风险、交易成本、滑点、资金和治理要求后执行。</w:t>
      </w:r>
    </w:p>
    <w:p>
      <w:pPr>
        <w:pStyle w:val="Heading2"/>
      </w:pPr>
      <w:r>
        <w:t>7.2 波动率跳升或跳降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</w:rPr>
        <w:t>先看 Mark IV 热力图辨认整体抬升还是局部 skew/smile 异常。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</w:rPr>
        <w:t>对比 Bid IV、Ask IV 与 IV Spread，判断是可成交波动率变化还是单边报价噪声。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</w:rPr>
        <w:t>再看持仓 Vega（若设置页开放）及 Total Delta；波动率冲击常与价格方向和流动性同时变化。</w:t>
      </w:r>
    </w:p>
    <w:p>
      <w:pPr>
        <w:pStyle w:val="ListNumber"/>
        <w:numPr>
          <w:ilvl w:val="0"/>
          <w:numId w:val="16"/>
        </w:numPr>
      </w:pPr>
      <w:r>
        <w:rPr>
          <w:rFonts w:ascii="Arial Unicode MS" w:hAnsi="Arial Unicode MS" w:eastAsia="Arial Unicode MS"/>
        </w:rPr>
        <w:t>不要仅因高 IV 卖出期权；必须评估尾部损失、保证金、Gamma、到期路径和对冲可用性。</w:t>
      </w:r>
    </w:p>
    <w:p>
      <w:pPr>
        <w:pStyle w:val="Heading2"/>
      </w:pPr>
      <w:r>
        <w:t>7.3 到期日前两天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</w:rPr>
        <w:t>核对 DTE、官方收盘/Spot 与 Strike 距离、合约 deliverable 和经纪商 Exercise/DNE 截止时间。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</w:rPr>
        <w:t>估算行权资金：Strike × 实际 deliverable × contracts；adjusted contract 不能硬编码 100。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</w:rPr>
        <w:t>比较可用 USD / Buying Power 与 Funding Coverage。可能 ITM 且覆盖率低于 100% 时应标记 FAIL。</w:t>
      </w:r>
    </w:p>
    <w:p>
      <w:pPr>
        <w:pStyle w:val="ListNumber"/>
        <w:numPr>
          <w:ilvl w:val="0"/>
          <w:numId w:val="17"/>
        </w:numPr>
      </w:pPr>
      <w:r>
        <w:rPr>
          <w:rFonts w:ascii="Arial Unicode MS" w:hAnsi="Arial Unicode MS" w:eastAsia="Arial Unicode MS"/>
        </w:rPr>
        <w:t>给每腿记录 Planned Action、Owner、Reviewer 与 Confirmation ID；HOLD、CLOSE、ROLL、EXERCISE、DNE 必须可追溯。</w:t>
      </w:r>
    </w:p>
    <w:p>
      <w:pPr>
        <w:pStyle w:val="Heading1"/>
      </w:pPr>
      <w:r>
        <w:t>8. 默认操作手册与故障排查</w:t>
      </w:r>
    </w:p>
    <w:p>
      <w:pPr>
        <w:pStyle w:val="Heading2"/>
      </w:pPr>
      <w:r>
        <w:t>8.1 每日最小闭环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</w:rPr>
        <w:t>登录后进入仓位管理，核对持仓日期与数量。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</w:rPr>
        <w:t>点击更新市场数据，等待页面报告成功/失败与更新时间。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</w:rPr>
        <w:t>进入风险热力图，依次看 Notional、Total Delta、Unit Delta、IV 与 IV Spread。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</w:rPr>
        <w:t>对高风险格 Hover、点击详情并记录动作；MISSING/STALE 先修数据。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</w:rPr>
        <w:t>完成交易或对冲后更新仓位，再刷新市场数据，确认 Total、Heatmap、Alerts 与 Scenario（若开放）同步变化。</w:t>
      </w:r>
    </w:p>
    <w:p>
      <w:pPr>
        <w:pStyle w:val="ListNumber"/>
        <w:numPr>
          <w:ilvl w:val="0"/>
          <w:numId w:val="18"/>
        </w:numPr>
      </w:pPr>
      <w:r>
        <w:rPr>
          <w:rFonts w:ascii="Arial Unicode MS" w:hAnsi="Arial Unicode MS" w:eastAsia="Arial Unicode MS"/>
        </w:rPr>
        <w:t>导出 Excel 并保存到受控位置，完成当日审计。</w:t>
      </w:r>
    </w:p>
    <w:p>
      <w:pPr>
        <w:pStyle w:val="Heading2"/>
      </w:pPr>
      <w:r>
        <w:t>8.2 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20"/>
        <w:gridCol w:w="4040"/>
      </w:tblGrid>
      <w:tr>
        <w:trPr>
          <w:cantSplit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现象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最可能原因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方格有实线但无颜色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可交易合约存在，但当前 Metric 缺输入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Hover/详情看 MISSING 字段；换数据源或等待刷新，绝不手工填 0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Top/Bottom 15% 选项看不到</w:t>
            </w:r>
          </w:p>
        </w:tc>
        <w:tc>
          <w:tcPr>
            <w:tcW w:type="dxa" w:w="32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默认在设置页隐藏</w:t>
            </w:r>
          </w:p>
        </w:tc>
        <w:tc>
          <w:tcPr>
            <w:tcW w:type="dxa" w:w="40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进入设置 → Heatmap filter options → Label 开启对应项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Spot 在图外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当前 Strike 范围不覆盖 Spot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使用 Center Spot；或调整范围，仍保留 Above/Below 提示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GLD 数据延迟</w:t>
            </w:r>
          </w:p>
        </w:tc>
        <w:tc>
          <w:tcPr>
            <w:tcW w:type="dxa" w:w="32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Cboe delayed feed、上游时间戳或免费接口限制</w:t>
            </w:r>
          </w:p>
        </w:tc>
        <w:tc>
          <w:tcPr>
            <w:tcW w:type="dxa" w:w="40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看源时间与 observed age；生产使用授权 OPRA/供应商低延迟源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导入后数量不对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Long/Short/Net 口径、Total 行或日期解析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在预览阶段逐列核对，修正模板后重新导入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部署后仓位消失</w:t>
            </w:r>
          </w:p>
        </w:tc>
        <w:tc>
          <w:tcPr>
            <w:tcW w:type="dxa" w:w="32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Render 临时文件系统在部署/重启后重置</w:t>
            </w:r>
          </w:p>
        </w:tc>
        <w:tc>
          <w:tcPr>
            <w:tcW w:type="dxa" w:w="40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恢复 Excel；尽快迁移 Postgres + 对象存储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色阶跨标的无法比较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两次自动范围不同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固定同一 Metric 的上下限，并确认单位标准化</w:t>
            </w:r>
          </w:p>
        </w:tc>
      </w:tr>
    </w:tbl>
    <w:p>
      <w:pPr>
        <w:spacing w:after="0"/>
      </w:pPr>
    </w:p>
    <w:p>
      <w:pPr>
        <w:pStyle w:val="Heading2"/>
      </w:pPr>
      <w:r>
        <w:t>8.3 安全与权限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不要把公网 Basic Auth、管理员密码或 API Key 写入 Excel、截图、源码或本手册；通过环境变量和密码管理器分发。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风险热力图与仓位管理默认可见；其他页面按设置决定入口，且每次打开可要求管理员密码。隐藏入口不是授权控制，后端仍需 RBAC。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任何公式修改都应记录修改者、时间、旧值、新值、影响范围与批准人，并能恢复默认。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生产环境需启用 TLS、强密码、速率限制、会话过期、审计日志、备份与恢复演练。</w:t>
      </w:r>
    </w:p>
    <w:p>
      <w:pPr>
        <w:pStyle w:val="Heading1"/>
      </w:pPr>
      <w:r>
        <w:t>9. 当前已有但默认隐藏的能力</w:t>
      </w:r>
    </w:p>
    <w:p>
      <w:r>
        <w:rPr>
          <w:rFonts w:ascii="Arial Unicode MS" w:hAnsi="Arial Unicode MS" w:eastAsia="Arial Unicode MS"/>
        </w:rPr>
        <w:t>以下能力存在于系统中或可由设置开放，但不属于默认首屏。使用前应由风险负责人决定是否对相应角色开放。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额外筛选：Dataset、Venue、Broker、Account、Expiry bucket、Data Status、Color Scale、Spot source、Transpose。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额外 Metric：Gamma、Theta、Vega、Market Value、UPL、DTE、Distance-to-Strike、Roll Priority 等。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决策卡：Max Unit Delta、Max Total Delta、Max Theta Burn、Max Vega、Nearest Expiry、Highest Roll Priority、Largest Data Error；点击只定位高亮。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Expiry / Exercise Panel：GLD DTE≤2 时检查资金覆盖、截止时间、计划动作和复核信息。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Scenario：XAU Shock −20% 至 +20%、IV Shock、Day 0/1/3/7；汇总期权 PnL、Van PnL、Residual PnL 与 Coverage。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Dashboard、公式管理、期权详情和其他页面：按页面入口和管理员保护配置开放。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Roll Priority heuristic：由 DTE、Theta/MV、距行权价、Unit/Total Delta、spread、time value、hedge contribution、残余风险改善加权，能够展开原因与权重。</w:t>
      </w:r>
    </w:p>
    <w:p>
      <w:pPr>
        <w:keepLines/>
        <w:spacing w:before="100" w:after="140"/>
        <w:ind w:left="202" w:right="58"/>
        <w:shd w:fill="FFF4E5"/>
        <w:pBdr>
          <w:left w:val="single" w:sz="20" w:space="8" w:color="B7791F"/>
        </w:pBdr>
      </w:pPr>
      <w:r>
        <w:rPr>
          <w:rFonts w:ascii="Arial Unicode MS" w:hAnsi="Arial Unicode MS" w:eastAsia="Arial Unicode MS"/>
          <w:b/>
          <w:color w:val="B7791F"/>
        </w:rPr>
        <w:t xml:space="preserve">不要把隐藏等同于不存在  </w:t>
      </w:r>
      <w:r>
        <w:rPr>
          <w:rFonts w:ascii="Arial Unicode MS" w:hAnsi="Arial Unicode MS" w:eastAsia="Arial Unicode MS"/>
        </w:rPr>
        <w:t>隐藏是信息架构选择；安全、模型治理和数据权限仍必须在后端执行。</w:t>
      </w:r>
    </w:p>
    <w:p>
      <w:pPr>
        <w:pStyle w:val="Heading1"/>
      </w:pPr>
      <w:r>
        <w:t>10. 当前问题、潜在提升与路线图</w:t>
      </w:r>
    </w:p>
    <w:p>
      <w:pPr>
        <w:pStyle w:val="Heading2"/>
      </w:pPr>
      <w:r>
        <w:t>10.1 当前最需要正视的问题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2800"/>
        <w:gridCol w:w="4810"/>
      </w:tblGrid>
      <w:tr>
        <w:trPr>
          <w:cantSplit w:val="true"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问题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交易影响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建议优先级与方案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Render 临时存储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重启/部署后仓位可能丢失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P0：Postgres 保存仓位/设置/审计；对象存储保存 Excel；定时备份</w:t>
            </w:r>
          </w:p>
        </w:tc>
      </w:tr>
      <w:tr>
        <w:trPr>
          <w:cantSplit w:val="true"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GLD 延迟与授权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旧报价导致错误 Delta、IV 与动作</w:t>
            </w:r>
          </w:p>
        </w:tc>
        <w:tc>
          <w:tcPr>
            <w:tcW w:type="dxa" w:w="4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P0：采购 OPRA/专业供应商；记录 exchange/receive/display 三类时间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合约主数据不足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adjusted deliverable、乘数或到期规则错误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P0：独立 contract master；版本化 multiplier、deliverable、exercise style、cutoff</w:t>
            </w:r>
          </w:p>
        </w:tc>
      </w:tr>
      <w:tr>
        <w:trPr>
          <w:cantSplit w:val="true"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数据源口径不同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Vega、Theta、IV、币种不能直接相加</w:t>
            </w:r>
          </w:p>
        </w:tc>
        <w:tc>
          <w:tcPr>
            <w:tcW w:type="dxa" w:w="4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P0：数据字典、单位转换层、源字段血缘与校验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REST 快照非流式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快速行情时页面变化滞后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P1：WebSocket/stream、增量计算、断线重连与心跳</w:t>
            </w:r>
          </w:p>
        </w:tc>
      </w:tr>
      <w:tr>
        <w:trPr>
          <w:cantSplit w:val="true"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模型简化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美式 GLD、分红、曲面、跳跃和尾部风险被低估</w:t>
            </w:r>
          </w:p>
        </w:tc>
        <w:tc>
          <w:tcPr>
            <w:tcW w:type="dxa" w:w="4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P1：美式定价/曲面、利率分红、情景全重估与模型对照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缺少执行闭环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发现风险但未衡量滑点、冲击和订单状态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P1：盘口深度、可成交量、pre-trade TCA、订单与成交回写</w:t>
            </w:r>
          </w:p>
        </w:tc>
      </w:tr>
      <w:tr>
        <w:trPr>
          <w:cantSplit w:val="true"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权限偏前端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隐藏入口不足以满足机构治理</w:t>
            </w:r>
          </w:p>
        </w:tc>
        <w:tc>
          <w:tcPr>
            <w:tcW w:type="dxa" w:w="4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P0：SSO/MFA、后端 RBAC、字段级权限、审计告警</w:t>
            </w:r>
          </w:p>
        </w:tc>
      </w:tr>
    </w:tbl>
    <w:p>
      <w:pPr>
        <w:spacing w:after="0"/>
      </w:pPr>
    </w:p>
    <w:p>
      <w:pPr>
        <w:pStyle w:val="Heading2"/>
      </w:pPr>
      <w:r>
        <w:t>10.2 专业化升级建议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PnL Explain：把日内 PnL 拆成 Delta、Gamma、Theta、Vega、Vol Surface、FX、Carry、Trade 与 Residual，帮助交易员判断“赚/亏在哪里”。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Hedge Optimizer：在目标残余 Delta/Gamma/Vega、资金、保证金、成交成本和品种权限约束下，给出多个可解释候选组合，而不是让 AI 直接拍脑袋下单。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Cross-market Liquidity Heatmap：统一到 USD notional、XAU delta、bps spread、1% ADV/可成交深度，比较 Bybit XAUT、GLD 与 CME；三个品种可以同屏，但必须统一量纲和时间戳。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Vol Surface QA：按 expiry 构造 forward、moneyness/delta bucket、无套利检查和 stale quote mask；防止错误报价污染 Greeks。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Alerts 与 Runbook：Spot 穿 Strike、0DTE、资金覆盖不足、数据中断、IV Spread 扩大、残余 Delta 超限时自动通知，并附处理手册。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Position APIs：Bybit/SignalPlus 自动导入；IBKR/Futu/KGI 优先 API 或 statement parser；Excel 保留为灾备与人工复核。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可观测性：接口成功率、延迟分位数、数据缺失率、重算耗时、最后成功刷新、版本号和模型哈希进入监控。</w:t>
      </w:r>
    </w:p>
    <w:p>
      <w:pPr>
        <w:pStyle w:val="Heading2"/>
      </w:pPr>
      <w:r>
        <w:t>10.3 建议的三阶段路线图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900"/>
        <w:gridCol w:w="3760"/>
      </w:tblGrid>
      <w:tr>
        <w:trPr>
          <w:cantSplit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阶段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目标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P0：可信与可恢复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持久化、低延迟授权源、合约主数据、RBAC、审计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部署不丢仓；数据时间可追；缺失不静默；合约与券商一致</w:t>
            </w:r>
          </w:p>
        </w:tc>
      </w:tr>
      <w:tr>
        <w:trPr>
          <w:cantSplit w:val="true"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P1：实时与可执行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流式数据、API 仓位、全量情景、资金/到期、对冲候选</w:t>
            </w:r>
          </w:p>
        </w:tc>
        <w:tc>
          <w:tcPr>
            <w:tcW w:type="dxa" w:w="3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行情变化秒级反映；Qty+1 后全链重算；动作能复核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P2：优化与学习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PnL Explain、跨市场流动性、TCA、回测、风险预算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能量化降低了多少残余风险、成本与操作错误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202" w:right="58"/>
        <w:shd w:fill="E8EEF5"/>
        <w:pBdr>
          <w:left w:val="single" w:sz="20" w:space="8" w:color="2E74B5"/>
        </w:pBdr>
      </w:pPr>
      <w:r>
        <w:rPr>
          <w:rFonts w:ascii="Arial Unicode MS" w:hAnsi="Arial Unicode MS" w:eastAsia="Arial Unicode MS"/>
          <w:b/>
          <w:color w:val="2E74B5"/>
        </w:rPr>
        <w:t xml:space="preserve">路线图使用方式  </w:t>
      </w:r>
      <w:r>
        <w:rPr>
          <w:rFonts w:ascii="Arial Unicode MS" w:hAnsi="Arial Unicode MS" w:eastAsia="Arial Unicode MS"/>
        </w:rPr>
        <w:t>先把 P0 的可信、持久化与治理做实，再开放 P1 的实时执行；P2 的优化价值必须用残余风险、成本和操作错误的改善来验收。</w:t>
      </w:r>
    </w:p>
    <w:p>
      <w:pPr>
        <w:pStyle w:val="Heading1"/>
      </w:pPr>
      <w:r>
        <w:t>11. 四份面向不同人群的讲解稿</w:t>
      </w:r>
    </w:p>
    <w:p>
      <w:pPr>
        <w:pStyle w:val="Heading2"/>
      </w:pPr>
      <w:r>
        <w:t>11.1 给最专业的师傅 / 交易同事（约 6 分钟）</w:t>
      </w:r>
    </w:p>
    <w:p>
      <w:r>
        <w:rPr>
          <w:rFonts w:ascii="Arial Unicode MS" w:hAnsi="Arial Unicode MS" w:eastAsia="Arial Unicode MS"/>
        </w:rPr>
        <w:t>“这套系统的核心不是再做一个仓位表，而是把 GLD 与 XAUT 的期权风险投影到 Expiry × Strike 张量的一张切片。默认先看 Notional，是为了找资本和标的规模集中；切 Total Delta 看真实方向敞口；再切 Unit Delta，把合约敏感度和仓位数量拆开。这样 0.05 Delta、1,000 张与 0.80 Delta、1 张不会混淆。</w:t>
      </w:r>
    </w:p>
    <w:p>
      <w:r>
        <w:rPr>
          <w:rFonts w:ascii="Arial Unicode MS" w:hAnsi="Arial Unicode MS" w:eastAsia="Arial Unicode MS"/>
        </w:rPr>
        <w:t>“白框是持仓，青色细框是完整链可交易合约。颜色只表达当前 Metric 的相对大小；数据缺失就留空，不会伪装成绿色低风险。Spot 按两位小数放在最近 Strike，超范围也会明确提示。我们的读取顺序始终是：数据时间—Spot—风险簇—持仓边框—Hover—详情—流动性—动作。”</w:t>
      </w:r>
    </w:p>
    <w:p>
      <w:r>
        <w:rPr>
          <w:rFonts w:ascii="Arial Unicode MS" w:hAnsi="Arial Unicode MS" w:eastAsia="Arial Unicode MS"/>
        </w:rPr>
        <w:t>“做对冲时，不把热力图当 optimizer。先用 Total Delta/Gamma/Vega 找残余风险，再加入 spread、深度、资金、保证金和到期规则。Roll Priority 只是透明 heuristic：DTE、Theta/MV、moneyness、Delta、spread、time value、hedge contribution 与 residual improvement 都能解释。最终动作仍然要有候选比较、双人复核和成交回写。”</w:t>
      </w:r>
    </w:p>
    <w:p>
      <w:r>
        <w:rPr>
          <w:rFonts w:ascii="Arial Unicode MS" w:hAnsi="Arial Unicode MS" w:eastAsia="Arial Unicode MS"/>
        </w:rPr>
        <w:t>“当前最大的技术风险是数据与持久化：GLD 延迟源不能冒充实时，Render 临时存储不能冒充账本，adjusted contract 不能用 100 shares 硬编码。下一步应先完成 OPRA/专业源、contract master、Postgres、审计和 RBAC，再做流式曲面与 hedge optimizer。”</w:t>
      </w:r>
    </w:p>
    <w:p>
      <w:pPr>
        <w:keepLines/>
        <w:spacing w:before="100" w:after="140"/>
        <w:ind w:left="202" w:right="58"/>
        <w:shd w:fill="EDF7F0"/>
        <w:pBdr>
          <w:left w:val="single" w:sz="20" w:space="8" w:color="1F7A4D"/>
        </w:pBdr>
      </w:pPr>
      <w:r>
        <w:rPr>
          <w:rFonts w:ascii="Arial Unicode MS" w:hAnsi="Arial Unicode MS" w:eastAsia="Arial Unicode MS"/>
          <w:b/>
          <w:color w:val="1F7A4D"/>
        </w:rPr>
        <w:t xml:space="preserve">给专业同事的结束句  </w:t>
      </w:r>
      <w:r>
        <w:rPr>
          <w:rFonts w:ascii="Arial Unicode MS" w:hAnsi="Arial Unicode MS" w:eastAsia="Arial Unicode MS"/>
        </w:rPr>
        <w:t>这张图的价值不是让我们看得更漂亮，而是让风险发现、数据质疑、对冲选择和事后复盘使用同一套坐标与口径。</w:t>
      </w:r>
    </w:p>
    <w:p>
      <w:pPr>
        <w:pStyle w:val="Heading2"/>
      </w:pPr>
      <w:r>
        <w:t>11.2 给黄金交易所 / 公司大老板（约 3 分钟）</w:t>
      </w:r>
    </w:p>
    <w:p>
      <w:r>
        <w:rPr>
          <w:rFonts w:ascii="Arial Unicode MS" w:hAnsi="Arial Unicode MS" w:eastAsia="Arial Unicode MS"/>
        </w:rPr>
        <w:t>“我们把两类黄金相关资产——传统市场的 GLD 与数字资产市场的 XAUT——放进一套统一风险语言。管理层不需要读几百行期权，只要看颜色、边框和 Spot，就能知道风险集中在哪个到期日与行权价、哪些是真实持仓、哪些数据不够新。”</w:t>
      </w:r>
    </w:p>
    <w:p>
      <w:r>
        <w:rPr>
          <w:rFonts w:ascii="Arial Unicode MS" w:hAnsi="Arial Unicode MS" w:eastAsia="Arial Unicode MS"/>
        </w:rPr>
        <w:t>“这套工具最直接的经营价值有四个：第一，更快识别大风险；第二，减少把单张 Delta 当成仓位风险的判断错误；第三，在到期、行权和资金覆盖上提前暴露 FAIL；第四，把数据来源、时间、公式和操作人纳入审计，让风险流程可复核。”</w:t>
      </w:r>
    </w:p>
    <w:p>
      <w:r>
        <w:rPr>
          <w:rFonts w:ascii="Arial Unicode MS" w:hAnsi="Arial Unicode MS" w:eastAsia="Arial Unicode MS"/>
        </w:rPr>
        <w:t>“它目前是风险决策支持平台，不是交易所账本，也不会自动下单。要达到机构生产级，投资顺序不是先做更多图，而是低延迟授权数据、合约主数据、持久数据库、权限审计和灾备。完成这些底座后，才能可靠扩展跨市场流动性比较、自动对冲建议和 PnL 解释。”</w:t>
      </w:r>
    </w:p>
    <w:p>
      <w:pPr>
        <w:keepLines/>
        <w:spacing w:before="100" w:after="140"/>
        <w:ind w:left="202" w:right="58"/>
        <w:shd w:fill="E8EEF5"/>
        <w:pBdr>
          <w:left w:val="single" w:sz="20" w:space="8" w:color="2E74B5"/>
        </w:pBdr>
      </w:pPr>
      <w:r>
        <w:rPr>
          <w:rFonts w:ascii="Arial Unicode MS" w:hAnsi="Arial Unicode MS" w:eastAsia="Arial Unicode MS"/>
          <w:b/>
          <w:color w:val="2E74B5"/>
        </w:rPr>
        <w:t xml:space="preserve">管理层指标  </w:t>
      </w:r>
      <w:r>
        <w:rPr>
          <w:rFonts w:ascii="Arial Unicode MS" w:hAnsi="Arial Unicode MS" w:eastAsia="Arial Unicode MS"/>
        </w:rPr>
        <w:t>建议按月跟踪：数据可用率、P95 延迟、MISSING 比例、风险超限发现时间、到期失败数、对冲成本、部署恢复时间与审计覆盖率。</w:t>
      </w:r>
    </w:p>
    <w:p>
      <w:pPr>
        <w:pStyle w:val="Heading2"/>
      </w:pPr>
      <w:r>
        <w:t>11.3 给公司其他部门同事（约 5 分钟）</w:t>
      </w:r>
    </w:p>
    <w:p>
      <w:r>
        <w:rPr>
          <w:rFonts w:ascii="Arial Unicode MS" w:hAnsi="Arial Unicode MS" w:eastAsia="Arial Unicode MS"/>
        </w:rPr>
        <w:t>“可以把热力图理解为一张期权风险地图。横向是不同到期日，纵向是不同行权价。每个小格子是一类合约；绿色到红色代表我们当前选择的指标从低到高，白色边框表示公司真的持有，青色边框表示市场上可交易但没有持有。”</w:t>
      </w:r>
    </w:p>
    <w:p>
      <w:r>
        <w:rPr>
          <w:rFonts w:ascii="Arial Unicode MS" w:hAnsi="Arial Unicode MS" w:eastAsia="Arial Unicode MS"/>
        </w:rPr>
        <w:t>“默认指标 Notional Size 讲的是这笔期权对应多少标的资产，不等于花了多少钱，也不等于最大亏损。切到 Total Delta 才更接近小幅金价变化时的方向风险。切到 IV 和 IV Spread，能看到市场对未来波动的定价和交易难度。”</w:t>
      </w:r>
    </w:p>
    <w:p>
      <w:r>
        <w:rPr>
          <w:rFonts w:ascii="Arial Unicode MS" w:hAnsi="Arial Unicode MS" w:eastAsia="Arial Unicode MS"/>
        </w:rPr>
        <w:t>“运营同事最重要的是数据链：仓位 Excel 导入是否正确、市场数据更新时间、缺失和警告是否处理、导出是否留档。技术同事最重要的是接口、持久化、权限和审计。财务同事最重要的是币种、成本、费用、市场价值、盈亏和资金覆盖口径。”</w:t>
      </w:r>
    </w:p>
    <w:p>
      <w:pPr>
        <w:keepLines/>
        <w:spacing w:before="100" w:after="140"/>
        <w:ind w:left="202" w:right="58"/>
        <w:shd w:fill="EDF7F0"/>
        <w:pBdr>
          <w:left w:val="single" w:sz="20" w:space="8" w:color="1F7A4D"/>
        </w:pBdr>
      </w:pPr>
      <w:r>
        <w:rPr>
          <w:rFonts w:ascii="Arial Unicode MS" w:hAnsi="Arial Unicode MS" w:eastAsia="Arial Unicode MS"/>
          <w:b/>
          <w:color w:val="1F7A4D"/>
        </w:rPr>
        <w:t xml:space="preserve">跨部门共同语言  </w:t>
      </w:r>
      <w:r>
        <w:rPr>
          <w:rFonts w:ascii="Arial Unicode MS" w:hAnsi="Arial Unicode MS" w:eastAsia="Arial Unicode MS"/>
        </w:rPr>
        <w:t>一个结论至少带上：标的、到期日、行权价、Call/Put、当前 Metric、时间戳、数据状态和负责人。</w:t>
      </w:r>
    </w:p>
    <w:p>
      <w:pPr>
        <w:pStyle w:val="Heading2"/>
      </w:pPr>
      <w:r>
        <w:t>11.4 给小白（约 8 分钟）</w:t>
      </w:r>
    </w:p>
    <w:p>
      <w:r>
        <w:rPr>
          <w:rFonts w:ascii="Arial Unicode MS" w:hAnsi="Arial Unicode MS" w:eastAsia="Arial Unicode MS"/>
        </w:rPr>
        <w:t>“期权可以理解为一张在未来某天、按某个价格买或卖标的的权利。Expiry 是这张权利什么时候到期，Strike 是约定价格，Call 是看涨方向的权利，Put 是看跌方向的权利。”</w:t>
      </w:r>
    </w:p>
    <w:p>
      <w:r>
        <w:rPr>
          <w:rFonts w:ascii="Arial Unicode MS" w:hAnsi="Arial Unicode MS" w:eastAsia="Arial Unicode MS"/>
        </w:rPr>
        <w:t>“热力图把很多张期权排成格子：横着找日期，竖着找价格。白边格是我们手里有的，青边格是市场有但我们没持有的。颜色不是涨跌预测，而是当前指标的大小。默认 Notional Size 只是规模；要看金价变化的敏感度，就选 Delta。”</w:t>
      </w:r>
    </w:p>
    <w:p>
      <w:r>
        <w:rPr>
          <w:rFonts w:ascii="Arial Unicode MS" w:hAnsi="Arial Unicode MS" w:eastAsia="Arial Unicode MS"/>
        </w:rPr>
        <w:t>“Unit Delta 是一张期权的敏感程度，Total Delta 是把张数也算进去。比如一张 0.8 Delta 的期权看起来很敏感，但只有 1 张；另一种只有 0.05 Delta，却有 1,000 张，后者的总风险可能远大于前者。所以一定要看清 Unit 还是 Total。”</w:t>
      </w:r>
    </w:p>
    <w:p>
      <w:r>
        <w:rPr>
          <w:rFonts w:ascii="Arial Unicode MS" w:hAnsi="Arial Unicode MS" w:eastAsia="Arial Unicode MS"/>
        </w:rPr>
        <w:t>“Spot 是现在金价或标的价格。网站把它显示到小数点后两位，并告诉你离哪个 Strike 最近。鼠标放到格子上可以看关键数据，点击可以看完整数据。看到红色不能马上交易，要先看数据是不是 LIVE、有没有 MISSING、买卖价差大不大。”</w:t>
      </w:r>
    </w:p>
    <w:p>
      <w:r>
        <w:rPr>
          <w:rFonts w:ascii="Arial Unicode MS" w:hAnsi="Arial Unicode MS" w:eastAsia="Arial Unicode MS"/>
        </w:rPr>
        <w:t>“最安全的使用顺序是：先更新数据，再看 Spot，再看白框红格，再 Hover，看不懂就点详情；最后把判断交给有权限的交易员复核。热力图帮助你找到该问的问题，但不会替你承担交易决策。”</w:t>
      </w:r>
    </w:p>
    <w:p>
      <w:pPr>
        <w:keepLines/>
        <w:spacing w:before="100" w:after="140"/>
        <w:ind w:left="202" w:right="58"/>
        <w:shd w:fill="E8EEF5"/>
        <w:pBdr>
          <w:left w:val="single" w:sz="20" w:space="8" w:color="2E74B5"/>
        </w:pBdr>
      </w:pPr>
      <w:r>
        <w:rPr>
          <w:rFonts w:ascii="Arial Unicode MS" w:hAnsi="Arial Unicode MS" w:eastAsia="Arial Unicode MS"/>
          <w:b/>
          <w:color w:val="2E74B5"/>
        </w:rPr>
        <w:t xml:space="preserve">给小白的口诀  </w:t>
      </w:r>
      <w:r>
        <w:rPr>
          <w:rFonts w:ascii="Arial Unicode MS" w:hAnsi="Arial Unicode MS" w:eastAsia="Arial Unicode MS"/>
        </w:rPr>
        <w:t>先认坐标，再认颜色；先看数据，再看风险；先问口径，再做动作。</w:t>
      </w:r>
    </w:p>
    <w:p>
      <w:pPr>
        <w:pStyle w:val="Heading1"/>
      </w:pPr>
      <w:r>
        <w:t>12. 第一性原理总结</w:t>
      </w:r>
    </w:p>
    <w:p>
      <w:pPr>
        <w:pStyle w:val="Heading2"/>
      </w:pPr>
      <w:r>
        <w:t>12.1 从风险本质出发</w:t>
      </w:r>
    </w:p>
    <w:p>
      <w:r>
        <w:rPr>
          <w:rFonts w:ascii="Arial Unicode MS" w:hAnsi="Arial Unicode MS" w:eastAsia="Arial Unicode MS"/>
        </w:rPr>
        <w:t>期权仓位的本质不是“有多少张”，而是在价格、波动率、时间和流动性变化下，未来现金流如何改变。Greeks 是局部导数，是复杂损益曲面在当下附近的近似；因此 Unit 与 Total、局部与情景、模型与市场都必须分开。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Risk ≈ Delta·ΔS + ½·Gamma·(ΔS)² + Vega·ΔIV + Theta·Δt + Residual</w:t>
      </w:r>
      <w:r>
        <w:rPr>
          <w:rFonts w:ascii="Arial Unicode MS" w:hAnsi="Arial Unicode MS" w:eastAsia="Arial Unicode MS"/>
          <w:color w:val="536273"/>
          <w:sz w:val="18"/>
        </w:rPr>
        <w:br/>
        <w:t>这只是局部近似。价格跳跃、波动率曲面移动、流动性枯竭和行权规则会进入 Residual。</w:t>
      </w:r>
    </w:p>
    <w:p>
      <w:pPr>
        <w:pStyle w:val="Heading2"/>
      </w:pPr>
      <w:r>
        <w:t>12.2 从热力图本质出发</w:t>
      </w:r>
    </w:p>
    <w:p>
      <w:r>
        <w:rPr>
          <w:rFonts w:ascii="Arial Unicode MS" w:hAnsi="Arial Unicode MS" w:eastAsia="Arial Unicode MS"/>
        </w:rPr>
        <w:t>原始风险是 Underlying × Venue × Account × Call/Put × Expiry × Strike × Metric × Time 的高维稀疏张量。热力图选择 Expiry × Strike 作为二维切片，用筛选器确定其余维度，用颜色压缩数值，用边框编码持仓状态，用角标编码合约和数据状态。它的目标不是展示更多，而是用最少视觉变量保留最关键决策信息。</w:t>
      </w:r>
    </w:p>
    <w:p>
      <w:pPr>
        <w:pStyle w:val="Heading2"/>
      </w:pPr>
      <w:r>
        <w:t>12.3 从对冲本质出发</w:t>
      </w:r>
    </w:p>
    <w:p>
      <w:r>
        <w:rPr>
          <w:rFonts w:ascii="Arial Unicode MS" w:hAnsi="Arial Unicode MS" w:eastAsia="Arial Unicode MS"/>
        </w:rPr>
        <w:t>对冲不是把所有风险降到 0，而是在收益目标、风险限额、交易成本、流动性、资金、保证金、税务和治理约束下，选择可承受的残余风险。最优动作必须明确优化目标和约束，不能只按一个红色格子下单。</w:t>
      </w:r>
    </w:p>
    <w:p>
      <w:pPr>
        <w:spacing w:before="40" w:after="120"/>
        <w:ind w:left="317" w:right="144"/>
        <w:shd w:fill="F5F8FC"/>
        <w:pBdr>
          <w:left w:val="single" w:sz="20" w:space="8" w:color="A8B6C7"/>
        </w:pBdr>
      </w:pPr>
      <w:r>
        <w:rPr>
          <w:rFonts w:ascii="Aptos Mono" w:hAnsi="Aptos Mono" w:eastAsia="Aptos Mono"/>
          <w:color w:val="1F4D78"/>
          <w:sz w:val="19"/>
        </w:rPr>
        <w:t>Choose hedge h to minimize: Residual Risk(h) + Transaction Cost(h) + Funding Cost(h)</w:t>
      </w:r>
      <w:r>
        <w:rPr>
          <w:rFonts w:ascii="Arial Unicode MS" w:hAnsi="Arial Unicode MS" w:eastAsia="Arial Unicode MS"/>
          <w:color w:val="536273"/>
          <w:sz w:val="18"/>
        </w:rPr>
        <w:br/>
        <w:t>subject to liquidity、position limits、margin、exercise rules、approvals 与可解释性。</w:t>
      </w:r>
    </w:p>
    <w:p>
      <w:pPr>
        <w:pStyle w:val="Heading2"/>
      </w:pPr>
      <w:r>
        <w:t>12.4 从数据本质出发</w:t>
      </w:r>
    </w:p>
    <w:p>
      <w:r>
        <w:rPr>
          <w:rFonts w:ascii="Arial Unicode MS" w:hAnsi="Arial Unicode MS" w:eastAsia="Arial Unicode MS"/>
        </w:rPr>
        <w:t>任何风险数字都是 Data × Convention × Model × Time 的产物。数据源、时间戳、合约定义和单位约定先决定数字是否有意义，模型精度才决定数字有多准确。因此 MISSING 不能等于 0，STALE 不能等于 LIVE，adjusted contract 不能等于标准合约。</w:t>
      </w:r>
    </w:p>
    <w:p>
      <w:pPr>
        <w:pStyle w:val="Heading2"/>
      </w:pPr>
      <w:r>
        <w:t>12.5 从系统治理本质出发</w:t>
      </w:r>
    </w:p>
    <w:p>
      <w:r>
        <w:rPr>
          <w:rFonts w:ascii="Arial Unicode MS" w:hAnsi="Arial Unicode MS" w:eastAsia="Arial Unicode MS"/>
        </w:rPr>
        <w:t>机构级风险系统必须让每个结论可重复、可归因、可恢复、可审计。公式要版本化，市场数据要有血缘，仓位要能对账，权限要在后端执行，部署要能恢复，动作要有 Owner/Reviewer/Confirmation。否则再漂亮的热力图也只是不可控的单机工具。</w:t>
      </w:r>
    </w:p>
    <w:p>
      <w:pPr>
        <w:pStyle w:val="Heading2"/>
      </w:pPr>
      <w:r>
        <w:t>12.6 分别面向四类人的一句话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对专业交易员：先把高维风险压缩并排序，再用流动性、情景和约束决定残余风险。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对管理层：把风险发现时间、数据可信度、资金失败与审计覆盖率变成可管理指标。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对其他部门：用统一字段、时间戳和责任人把交易、技术、运营、财务连接起来。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对小白：热力图是找问题的地图，不是预测涨跌的答案。</w:t>
      </w:r>
    </w:p>
    <w:p>
      <w:pPr>
        <w:keepLines/>
        <w:spacing w:before="100" w:after="140"/>
        <w:ind w:left="202" w:right="58"/>
        <w:shd w:fill="EDF7F0"/>
        <w:pBdr>
          <w:left w:val="single" w:sz="20" w:space="8" w:color="1F7A4D"/>
        </w:pBdr>
      </w:pPr>
      <w:r>
        <w:rPr>
          <w:rFonts w:ascii="Arial Unicode MS" w:hAnsi="Arial Unicode MS" w:eastAsia="Arial Unicode MS"/>
          <w:b/>
          <w:color w:val="1F7A4D"/>
        </w:rPr>
        <w:t xml:space="preserve">第一性原理总括  </w:t>
      </w:r>
      <w:r>
        <w:rPr>
          <w:rFonts w:ascii="Arial Unicode MS" w:hAnsi="Arial Unicode MS" w:eastAsia="Arial Unicode MS"/>
        </w:rPr>
        <w:t>价格风险决定看什么；数据血缘决定能不能信；流动性、资金与治理约束决定能不能做；残余风险与成本的改善决定做得值不值。</w:t>
      </w:r>
    </w:p>
    <w:p>
      <w:r>
        <w:br w:type="page"/>
      </w:r>
    </w:p>
    <w:p>
      <w:pPr>
        <w:pStyle w:val="Heading1"/>
      </w:pPr>
      <w:r>
        <w:t>附录 A：默认状态速查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 w:val="true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当前默认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默认页面入口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风险热力图、仓位管理、设置</w:t>
            </w:r>
          </w:p>
        </w:tc>
      </w:tr>
      <w:tr>
        <w:trPr>
          <w:cantSplit w:val="true"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Underlying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GLD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Call / Put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Call</w:t>
            </w:r>
          </w:p>
        </w:tc>
      </w:tr>
      <w:tr>
        <w:trPr>
          <w:cantSplit w:val="true"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Metric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Notional Size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Label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None；Top 15% 与 Bottom 15% 默认隐藏</w:t>
            </w:r>
          </w:p>
        </w:tc>
      </w:tr>
      <w:tr>
        <w:trPr>
          <w:cantSplit w:val="true"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Hover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颜色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低绿—中黄—高红；缺失留空</w:t>
            </w:r>
          </w:p>
        </w:tc>
      </w:tr>
      <w:tr>
        <w:trPr>
          <w:cantSplit w:val="true"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持仓边框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白色较粗实线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可交易未持仓边框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青色细实线，四边完整</w:t>
            </w:r>
          </w:p>
        </w:tc>
      </w:tr>
      <w:tr>
        <w:trPr>
          <w:cantSplit w:val="true"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Spot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最近 Strike 标记；数值两位小数；越界仍提示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默认可见控件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Underlying、C/P、Metric、Label、Hover、Range、Strike 排序、方格尺寸、Fit All、Full Screen</w:t>
            </w:r>
          </w:p>
        </w:tc>
      </w:tr>
      <w:tr>
        <w:trPr>
          <w:cantSplit w:val="true"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默认隐藏区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情景分析、Show Cards、Largest Data Error 与其他高级筛选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B：术语速查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术语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65D"/>
              </w:rPr>
              <w:t>简明解释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Mark Price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用于估值的代表价格，不保证等于可成交价格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IV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由期权价格反推出的隐含波动率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Delta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标的价格小幅变化时，期权价值的一阶敏感度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Gamma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Delta 随标的价格变化的速度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Theta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其他条件不变时，时间流逝带来的价值变化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Vega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隐含波动率变化时，期权价值的敏感度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DTE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距到期剩余天数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MV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Market Value，当前市场价值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UPL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Unrealized PnL，未实现盈亏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Notional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对应标的资产的名义本金，不是期权市值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STALE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报价超过允许时效；当前系统阈值按配置/实现判断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MISSING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9"/>
              </w:rPr>
              <w:t>必要输入缺失，不能用于计算该 Metric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C：交易前检查清单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仓位日期、数量、合约、乘数、币种与券商一致。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市场数据 Source、As-of、时区、状态可接受。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Spot、Mark、Bid/Ask、IV 与 Greeks 没有静默 0。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当前看的究竟是 Unit 还是 Total；究竟是 signed 还是 absolute。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颜色上下限是否自动；跨标的比较是否固定同一 Metric 的范围。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到期、行权、DNE、资金覆盖、买入能力和截止时间已复核。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流动性、spread、深度、滑点、手续费、保证金已计入。</w:t>
      </w:r>
    </w:p>
    <w:p>
      <w:pPr>
        <w:pStyle w:val="ListBullet"/>
        <w:numPr>
          <w:ilvl w:val="0"/>
          <w:numId w:val="10"/>
        </w:numPr>
      </w:pPr>
      <w:r>
        <w:rPr>
          <w:rFonts w:ascii="Arial Unicode MS" w:hAnsi="Arial Unicode MS" w:eastAsia="Arial Unicode MS"/>
        </w:rPr>
        <w:t>动作、Owner、Reviewer、Confirmation 与导出留档齐全。</w:t>
      </w:r>
    </w:p>
    <w:p>
      <w:pPr>
        <w:keepLines/>
        <w:spacing w:before="100" w:after="140"/>
        <w:ind w:left="202" w:right="58"/>
        <w:shd w:fill="EDF7F0"/>
        <w:pBdr>
          <w:left w:val="single" w:sz="20" w:space="8" w:color="1F7A4D"/>
        </w:pBdr>
      </w:pPr>
      <w:r>
        <w:rPr>
          <w:rFonts w:ascii="Arial Unicode MS" w:hAnsi="Arial Unicode MS" w:eastAsia="Arial Unicode MS"/>
          <w:b/>
          <w:color w:val="1F7A4D"/>
        </w:rPr>
        <w:t xml:space="preserve">最终原则  </w:t>
      </w:r>
      <w:r>
        <w:rPr>
          <w:rFonts w:ascii="Arial Unicode MS" w:hAnsi="Arial Unicode MS" w:eastAsia="Arial Unicode MS"/>
        </w:rPr>
        <w:t>先保证数据和口径正确，再追求模型精度；先明确残余风险目标，再讨论对冲工具；先形成可复核流程，再增加自动化。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charset w:val="86"/>
    <w:family w:val="swiss"/>
    <w:pitch w:val="variable"/>
    <w:sig w:usb0="E0002AFF" w:usb1="C0007843" w:usb2="00000009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/>
        <w:color w:val="536273"/>
        <w:sz w:val="16"/>
      </w:rPr>
      <w:t xml:space="preserve">DinoSignal Quant Risk  ·  内部使用  ·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362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Arial Unicode MS" w:hAnsi="Arial Unicode MS" w:eastAsia="Arial Unicode MS"/>
        <w:b/>
        <w:color w:val="536273"/>
        <w:sz w:val="16"/>
      </w:rPr>
      <w:t>黄金对冲分析网站  |  风险热力图与操作手册</w:t>
    </w:r>
    <w:r>
      <w:tab/>
    </w:r>
    <w:r>
      <w:rPr>
        <w:rFonts w:ascii="Arial Unicode MS" w:hAnsi="Arial Unicode MS" w:eastAsia="Arial Unicode MS"/>
        <w:color w:val="B7791F"/>
        <w:sz w:val="16"/>
      </w:rPr>
      <w:t>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</w:p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5">
    <w:abstractNumId w:val="14"/>
  </w:num>
  <w:abstractNum w:abstractNumId="15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6">
    <w:abstractNumId w:val="15"/>
  </w:num>
  <w:abstractNum w:abstractNumId="16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7">
    <w:abstractNumId w:val="16"/>
  </w:num>
  <w:abstractNum w:abstractNumId="17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Arial Unicode MS" w:hAnsi="Arial Unicode MS" w:eastAsia="Arial Unicode M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4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362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old-options-hedge.onrender.com/matrix" TargetMode="External"/><Relationship Id="rId12" Type="http://schemas.openxmlformats.org/officeDocument/2006/relationships/hyperlink" Target="https://gold-options-hedge.onrender.com/positions" TargetMode="External"/><Relationship Id="rId13" Type="http://schemas.openxmlformats.org/officeDocument/2006/relationships/hyperlink" Target="https://gold-options-hedge.onrender.com/set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黄金对冲分析网站：风险热力图与操作手册</dc:title>
  <dc:subject>GLD 与 XAUT 期权仓位、风险热力图、操作流程和培训讲稿</dc:subject>
  <dc:creator>DinoSignal Quant Risk</dc:creator>
  <cp:keywords>GLD, XAUT, options, risk heatmap, hedge, Greeks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