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w:drawing>
          <wp:anchor distT="0" distB="0" distL="114300" distR="114300" simplePos="0" relativeHeight="251658243" behindDoc="0" locked="0" layoutInCell="1" allowOverlap="1">
            <wp:simplePos x="0" y="0"/>
            <wp:positionH relativeFrom="page">
              <wp:posOffset>1062000</wp:posOffset>
            </wp:positionH>
            <wp:positionV relativeFrom="page">
              <wp:posOffset>2358000</wp:posOffset>
            </wp:positionV>
            <wp:extent cx="1728000" cy="432000"/>
            <wp:effectExtent l="0" t="0" r="0" b="0"/>
            <wp:wrapNone/>
            <wp:docPr id="3" name="Nalepk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lepkaR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page">
                  <wp:posOffset>4230000</wp:posOffset>
                </wp:positionH>
                <wp:positionV relativeFrom="page">
                  <wp:posOffset>1936800</wp:posOffset>
                </wp:positionV>
                <wp:extent cx="2592000" cy="1080000"/>
                <wp:effectExtent l="0" t="0" r="0" b="0"/>
                <wp:wrapNone/>
                <wp:docPr id="4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2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t xml:space="preserve">Kancelaria Radców Prawnych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Wiśniewski i Wspólnicy sp.k.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al. Jerozolimskie 65/79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00-697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9" type="#_x0000_t202" style="position:absolute;margin-left:117.5mm;margin-top:53.8mm;width:72mm;height:30mm;z-index:5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t xml:space="preserve">Kancelaria Radców Prawnych</w:t>
                      </w:r>
                    </w:p>
                    <w:p>
                      <w:pPr>
                        <w:pStyle w:val="Adres"/>
                      </w:pPr>
                      <w:r>
                        <w:t xml:space="preserve">Wiśniewski i Wspólnicy sp.k.</w:t>
                      </w:r>
                    </w:p>
                    <w:p>
                      <w:pPr>
                        <w:pStyle w:val="Adres"/>
                      </w:pPr>
                      <w:r>
                        <w:t xml:space="preserve">al. Jerozolimskie 65/79</w:t>
                      </w:r>
                    </w:p>
                    <w:p>
                      <w:pPr>
                        <w:pStyle w:val="Adres"/>
                      </w:pPr>
                      <w:r>
                        <w:t xml:space="preserve">00-697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Odpowiedź na wezwanie do uzupełnienia braków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headerReference w:type="default" r:id="rId2"/>
      <w:pgSz w:w="11906" w:h="16838"/>
      <w:pgMar w:top="1417" w:right="1134" w:bottom="1417" w:left="1417" w:header="567" w:footer="567" w:gutter="0"/>
    </w:sectPr>
  </w:body>
</w:document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p>
    <w:pPr>
      <w:pStyle w:val="Nagwek"/>
    </w:pPr>
    <w:r>
      <w:rPr>
        <w:b/>
        <w:sz w:val="24"/>
      </w:rPr>
      <w:t xml:space="preserve">URZĄD GMINY WÓLKA</w:t>
    </w:r>
  </w:p>
  <w:p>
    <w:pPr>
      <w:pStyle w:val="Nagwek"/>
    </w:pPr>
    <w:r>
      <w:rPr>
        <w:sz w:val="16"/>
      </w:rPr>
      <w:t xml:space="preserve">ul. Polna 1, 21-100 Lubartów  •  tel. 81 555 12 00  •  www.wolka.example.pl</w:t>
    </w:r>
  </w:p>
</w:hdr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02_C65_dwa_okienka_poprawny</dc:title>
  <dc:creator>Mass.AddressWindow SampleGenerator</dc:creator>
</cp:coreProperties>
</file>