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ind w:left="5669"/>
      </w:pPr>
      <w:r>
        <w:rPr>
          <w:b/>
        </w:rPr>
        <w:t>Для службового користування</w:t>
      </w:r>
    </w:p>
    <w:p>
      <w:pPr>
        <w:jc w:val="center"/>
      </w:pPr>
      <w:r>
        <w:rPr>
          <w:b/>
          <w:sz w:val="30"/>
        </w:rPr>
        <w:t>НАКАЗ</w:t>
      </w:r>
    </w:p>
    <w:p>
      <w:r>
        <w:t>28 квітня 2026 року    № 050-фін</w:t>
      </w:r>
    </w:p>
    <w:p>
      <w:pPr>
        <w:jc w:val="center"/>
      </w:pPr>
      <w:r>
        <w:rPr>
          <w:b/>
        </w:rPr>
        <w:t>Про затвердження та оприлюднення річної фінансової звітності</w:t>
      </w:r>
    </w:p>
    <w:p>
      <w:pPr>
        <w:ind w:firstLine="567"/>
        <w:jc w:val="both"/>
      </w:pPr>
      <w:r>
        <w:t>З метою затвердження та оприлюднення річної фінансової звітності за звітний рік, складеної за міжнародними стандартами, та забезпечення правомірного режиму доступу до неї НАКАЗУЮ:</w:t>
      </w:r>
    </w:p>
    <w:p>
      <w:pPr>
        <w:ind w:firstLine="567"/>
        <w:jc w:val="both"/>
      </w:pPr>
      <w:r>
        <w:t>1. Затвердити річну фінансову звітність підприємства за звітний рік.</w:t>
      </w:r>
    </w:p>
    <w:p>
      <w:pPr>
        <w:ind w:firstLine="567"/>
        <w:jc w:val="both"/>
      </w:pPr>
      <w:r>
        <w:t>2. Оприлюднити звітність на офіційному вебсайті у строк, визначений законодавством, та забезпечити її зберігання.</w:t>
      </w:r>
    </w:p>
    <w:p>
      <w:pPr>
        <w:ind w:firstLine="567"/>
        <w:jc w:val="both"/>
      </w:pPr>
      <w:r>
        <w:t>3. Контроль за виконанням наказу залишаю за собою.</w:t>
      </w:r>
    </w:p>
    <w:p>
      <w:pPr>
        <w:ind w:firstLine="567"/>
        <w:jc w:val="both"/>
      </w:pPr>
      <w:r>
        <w:t>ЮРИДИЧНЕ ОБҐРУНТУВАННЯ (автоматична перевірка за кодованими НПА):</w:t>
      </w:r>
    </w:p>
    <w:p>
      <w:pPr>
        <w:ind w:firstLine="567"/>
        <w:jc w:val="both"/>
      </w:pPr>
      <w:r>
        <w:t>1. Закон № 996-XIV, ст.2 — категорія підприємства за критеріями 2-з-3: ВІДПОВІДАЄ. підприємство віднесено до категорії: Medium (середнє).</w:t>
      </w:r>
    </w:p>
    <w:p>
      <w:pPr>
        <w:ind w:firstLine="567"/>
        <w:jc w:val="both"/>
      </w:pPr>
      <w:r>
        <w:t>2. Закон № 996-XIV, ст.9(2) — обовʼязкові реквізити первинного документа: ВІДПОВІДАЄ. первинний документ містить усі обовʼязкові реквізити (паралель §4.4 ДСТУ).</w:t>
      </w:r>
    </w:p>
    <w:p>
      <w:pPr>
        <w:ind w:firstLine="567"/>
        <w:jc w:val="both"/>
      </w:pPr>
      <w:r>
        <w:t>3. Закон № 996-XIV, ст.12-1(2) — обовʼязковість складання звітності за МСФЗ: ВІДПОВІДАЄ. як підприємство, що становить суспільний інтерес — звітує за МСФЗ.</w:t>
      </w:r>
    </w:p>
    <w:p>
      <w:pPr>
        <w:ind w:firstLine="567"/>
        <w:jc w:val="both"/>
      </w:pPr>
      <w:r>
        <w:t>4. Закон № 996-XIV, ст.13 — звітний період фінансової звітності: ВІДПОВІДАЄ. звітний період — календарний рік (12 місяців).</w:t>
      </w:r>
    </w:p>
    <w:p>
      <w:pPr>
        <w:ind w:firstLine="567"/>
        <w:jc w:val="both"/>
      </w:pPr>
      <w:r>
        <w:t>5. Закон № 996-XIV, ст.14(3) — строк оприлюднення річної звітності (до 30 квітня): ВІДПОВІДАЄ. звітність оприлюднено 28 квітня — у межах строку.</w:t>
      </w:r>
    </w:p>
    <w:p>
      <w:pPr>
        <w:ind w:firstLine="567"/>
        <w:jc w:val="both"/>
      </w:pPr>
      <w:r>
        <w:t>6. Закон № 851-IV, ст.6 — завершення створення е-документа (накладання КЕП): ВІДПОВІДАЄ. наказ підписано обома підписувачами — створення завершено.</w:t>
      </w:r>
    </w:p>
    <w:p>
      <w:pPr>
        <w:ind w:firstLine="567"/>
        <w:jc w:val="both"/>
      </w:pPr>
      <w:r>
        <w:t>7. Закон № 851-IV, ст.7 — статус оригіналу електронного документа: ВІДПОВІДАЄ. реквізити + підпис автора + доказувана цілісність — є оригіналом.</w:t>
      </w:r>
    </w:p>
    <w:p>
      <w:pPr>
        <w:ind w:firstLine="567"/>
        <w:jc w:val="both"/>
      </w:pPr>
      <w:r>
        <w:t>8. Закон № 851-IV, ст.12 — перевірка цілісності е-документа: ВІДПОВІДАЄ. цілісність підтверджується кваліфікованим підписом (КЕП).</w:t>
      </w:r>
    </w:p>
    <w:p>
      <w:pPr>
        <w:ind w:firstLine="567"/>
        <w:jc w:val="both"/>
      </w:pPr>
      <w:r>
        <w:t>9. Закон № 851-IV, ст.13 — припустимість зберігання е-документа: ВІДПОВІДАЄ. строк зберігання ≥ паперового, умови збереження виконано.</w:t>
      </w:r>
    </w:p>
    <w:p>
      <w:pPr>
        <w:ind w:firstLine="567"/>
        <w:jc w:val="both"/>
      </w:pPr>
      <w:r>
        <w:t>10. Закон № 80/94-ВР, ст.8 — умови обробки інформації з обмеженим доступом у ІКС: ВІДПОВІДАЄ. обробка в авторизованій з безпеки системі публічного сектору.</w:t>
      </w:r>
    </w:p>
    <w:p>
      <w:pPr>
        <w:ind w:firstLine="567"/>
        <w:jc w:val="both"/>
      </w:pPr>
      <w:r>
        <w:t>11. Закон № 80/94-ВР, ст.9 — забезпечення захисту (підрозділ із кіберзахисту): ВІДПОВІДАЄ. утворено підрозділ із кіберзахисту — захист забезпечено.</w:t>
      </w:r>
    </w:p>
    <w:p>
      <w:pPr>
        <w:ind w:firstLine="567"/>
        <w:jc w:val="both"/>
      </w:pPr>
      <w:r>
        <w:t>12. Закон № 2297-VI, ст.6 — загальні вимоги до обробки персональних даних у звітності: ВІДПОВІДАЄ. ПІБ керівників у звітності оброблюються правомірно (мета, адекватність).</w:t>
      </w:r>
    </w:p>
    <w:p>
      <w:pPr>
        <w:ind w:firstLine="567"/>
        <w:jc w:val="both"/>
      </w:pPr>
      <w:r>
        <w:t>13. Закон № 2297-VI, ст.11 — підстава для обробки персональних даних: ВІДПОВІДАЄ. підстава — виконання обовʼязку володільця за законом.</w:t>
      </w:r>
    </w:p>
    <w:p>
      <w:pPr>
        <w:ind w:firstLine="567"/>
        <w:jc w:val="both"/>
      </w:pPr>
      <w:r>
        <w:t>14. Закон № 2657-XII, ст.21 — правомірність обмеження доступу до частини відомостей: ВІДПОВІДАЄ. обмеження витримує трискладовий тест (ст.6(2)).</w:t>
      </w:r>
    </w:p>
    <w:p>
      <w:pPr>
        <w:ind w:firstLine="567"/>
        <w:jc w:val="both"/>
      </w:pPr>
      <w:r>
        <w:t>15. Закон № 2939-VI, ст.6(5) — спроба обмежити доступ до бюджетних відомостей: ВІДПОВІДАЄ. доступ до бюджетних відомостей обмежити НЕ можна — надається у повному обсязі.</w:t>
      </w:r>
    </w:p>
    <w:p>
      <w:pPr>
        <w:ind w:firstLine="567"/>
        <w:jc w:val="both"/>
      </w:pPr>
      <w:r>
        <w:t>16. Закон № 2939-VI, ст.20 — строк розгляду запиту на публічну інформацію: ВІДПОВІДАЄ. відповідь на запит надається не пізніше 5 робочих днів.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3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</w:pPr>
            <w:r>
              <w:rPr>
                <w:b/>
                <w:sz w:val="16"/>
              </w:rPr>
              <w:t>Кваліфікований електронний підпис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Підписувач: ПЕТРЕНКО Олександр Іванович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Сертифікат: 58E2D9C1F0A4B7E3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Видавець: КН ЕДП «Дія»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Чинний: 01.01.2026 – 01.01.2028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Позначка часу: 28.04.2026 09:15:00 EET</w:t>
            </w:r>
          </w:p>
          <w:p>
            <w:pPr>
              <w:spacing w:line="240" w:lineRule="auto" w:after="0"/>
            </w:pPr>
            <w:r>
              <w:rPr>
                <w:b/>
                <w:sz w:val="16"/>
              </w:rPr>
              <w:t>Статус сертифіката: ЧИННИЙ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3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</w:pPr>
            <w:r>
              <w:rPr>
                <w:b/>
                <w:sz w:val="16"/>
              </w:rPr>
              <w:t>Кваліфікований електронний підпис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Підписувач: ТКАЧЕНКО Наталія Сергіївна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Сертифікат: A1B2C3D4E5F60789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Видавець: КН ЕДП «Дія»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Чинний: 01.01.2026 – 01.01.2028</w:t>
            </w:r>
          </w:p>
          <w:p>
            <w:pPr>
              <w:spacing w:line="240" w:lineRule="auto" w:after="0"/>
            </w:pPr>
            <w:r>
              <w:rPr>
                <w:b w:val="0"/>
                <w:sz w:val="16"/>
              </w:rPr>
              <w:t>Позначка часу: 28.04.2026 09:16:30 EET</w:t>
            </w:r>
          </w:p>
          <w:p>
            <w:pPr>
              <w:spacing w:line="240" w:lineRule="auto" w:after="0"/>
            </w:pPr>
            <w:r>
              <w:rPr>
                <w:b/>
                <w:sz w:val="16"/>
              </w:rPr>
              <w:t>Статус сертифіката: ЧИННИЙ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