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r>
        <w:t>13.06.2026    № 241/05-12</w:t>
      </w:r>
    </w:p>
    <w:p>
      <w:pPr>
        <w:ind w:left="5102"/>
      </w:pPr>
      <w:r>
        <w:t>Міністерство юстиції України</w:t>
        <w:br/>
        <w:t>Департамент документообігу</w:t>
      </w:r>
    </w:p>
    <w:p>
      <w:pPr>
        <w:jc w:val="center"/>
      </w:pPr>
      <w:r>
        <w:rPr>
          <w:b/>
        </w:rPr>
        <w:t>Щодо застосування ДСТУ 4163:2020</w:t>
      </w:r>
    </w:p>
    <w:p>
      <w:pPr>
        <w:ind w:firstLine="567"/>
        <w:jc w:val="both"/>
      </w:pPr>
      <w:r>
        <w:t>Шановні колеги!</w:t>
      </w:r>
    </w:p>
    <w:p>
      <w:pPr>
        <w:ind w:firstLine="567"/>
        <w:jc w:val="both"/>
      </w:pPr>
      <w:r>
        <w:t>На ваш запит повідомляємо, що вимоги до оформлення організаційно-розпорядчих документів визначає ДСТУ 4163:2020, чинний з 01.09.2021.</w:t>
      </w:r>
    </w:p>
    <w:p>
      <w:pPr>
        <w:ind w:firstLine="567"/>
        <w:jc w:val="both"/>
      </w:pPr>
      <w:r>
        <w:t>Додаткові роз’яснення можемо надати за окремим зверненням.</w:t>
      </w:r>
    </w:p>
    <w:p/>
    <w:p>
      <w:r>
        <w:t>Заступник директора</w:t>
      </w:r>
      <w:r>
        <w:tab/>
        <w:tab/>
      </w:r>
      <w:r>
        <w:t>І. КОВАЛЕНКО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