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中国电信皮基站TR069接口规范2.6与佰才邦发的中国移动TR069接口规范1.7主要差异：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3040" cy="3129280"/>
            <wp:effectExtent l="0" t="0" r="3810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2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两规范总共涉及1248项参数配置管理，其中两规范相同的参数项共有690项，2.6规范专属的有338项，1.7专属的有220项。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2.6规范，新增一体化基站设备信息参数管理、Qos参数管理大项，并对扩展行基站设备信息参数管理、基站配置参数管理、小区服务参数管理、RAN协议栈参数、移动性参数管理等主要参数集进行细化新增配置参数项。取消了1.7规范中的本地分流规则与软采规则的管理。</w:t>
      </w:r>
    </w:p>
    <w:p>
      <w:pPr>
        <w:ind w:firstLine="420" w:firstLineChars="200"/>
        <w:rPr>
          <w:rFonts w:hint="default"/>
          <w:lang w:val="en-US" w:eastAsia="zh-CN"/>
        </w:rPr>
      </w:pPr>
    </w:p>
    <w:p>
      <w:pPr>
        <w:ind w:firstLine="420" w:firstLineChars="200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ljZmViZjE0OWZkMWUxMWQwZWRkODc1ZTI0ZDRjYWMifQ=="/>
  </w:docVars>
  <w:rsids>
    <w:rsidRoot w:val="4B974AF6"/>
    <w:rsid w:val="0D5A77DD"/>
    <w:rsid w:val="108C51BC"/>
    <w:rsid w:val="2FCF1C3B"/>
    <w:rsid w:val="3E082697"/>
    <w:rsid w:val="4B803355"/>
    <w:rsid w:val="4B974AF6"/>
    <w:rsid w:val="65526141"/>
    <w:rsid w:val="79B16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186</Words>
  <Characters>215</Characters>
  <Lines>0</Lines>
  <Paragraphs>0</Paragraphs>
  <TotalTime>5</TotalTime>
  <ScaleCrop>false</ScaleCrop>
  <LinksUpToDate>false</LinksUpToDate>
  <CharactersWithSpaces>215</CharactersWithSpaces>
  <Application>WPS Office_11.1.0.11875_F1E327BC-269C-435d-A152-05C5408002CA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2022-07-13T01:55:00Z</dcterms:created>
  <dc:creator>lujianfeng</dc:creator>
  <cp:lastModifiedBy>WPS_1640681929</cp:lastModifiedBy>
  <dcterms:modified xsi:type="dcterms:W3CDTF">2022-07-13T03:19:22Z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0313562818B44130BC3F70146963DB75</vt:lpwstr>
  </property>
</Properties>
</file>