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8"/>
        <w:framePr w:wrap="around"/>
      </w:pPr>
      <w:r>
        <w:t>Q</w:t>
      </w:r>
      <w:r>
        <w:rPr>
          <w:rFonts w:hint="eastAsia"/>
        </w:rPr>
        <w:t>B</w:t>
      </w:r>
      <w:r>
        <w:t>/</w:t>
      </w:r>
      <w:r>
        <w:rPr>
          <w:rFonts w:hint="eastAsia"/>
        </w:rPr>
        <w:t>CU</w:t>
      </w:r>
      <w:r>
        <w:t xml:space="preserve"> </w:t>
      </w:r>
    </w:p>
    <w:p>
      <w:pPr>
        <w:rPr>
          <w:sz w:val="21"/>
          <w:szCs w:val="22"/>
        </w:rPr>
      </w:pPr>
    </w:p>
    <w:p>
      <w:pPr>
        <w:pStyle w:val="89"/>
        <w:framePr w:wrap="around"/>
        <w:rPr>
          <w:rFonts w:ascii="Times New Roman" w:hAnsi="Times New Roman"/>
          <w:sz w:val="52"/>
        </w:rPr>
      </w:pPr>
      <w:r>
        <w:rPr>
          <w:rFonts w:hint="eastAsia"/>
          <w:sz w:val="52"/>
        </w:rPr>
        <w:t>中国联通公司</w:t>
      </w:r>
      <w:r>
        <w:rPr>
          <w:sz w:val="52"/>
        </w:rPr>
        <w:t>企业标</w:t>
      </w:r>
      <w:r>
        <w:rPr>
          <w:rFonts w:ascii="Times New Roman" w:hAnsi="Times New Roman"/>
          <w:sz w:val="52"/>
        </w:rPr>
        <w:t>准</w:t>
      </w:r>
    </w:p>
    <w:p>
      <w:pPr>
        <w:rPr>
          <w:sz w:val="21"/>
          <w:szCs w:val="22"/>
        </w:rPr>
      </w:pPr>
      <w:r>
        <w:rPr>
          <w:sz w:val="21"/>
          <w:szCs w:val="22"/>
        </w:rPr>
        <w:pict>
          <v:line id="Line 11" o:spid="_x0000_s1031" o:spt="20" style="position:absolute;left:0pt;margin-left:-19pt;margin-top:107.35pt;height:0pt;width:481.9pt;z-index:251659264;mso-width-relative:page;mso-height-relative:page;" coordsize="21600,21600" o:gfxdata="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tD/N9gAAAALAQAADwAAAAAAAAABACAAAAAiAAAAZHJz&#10;L2Rvd25yZXYueG1sUEsBAhQAFAAAAAgAh07iQP09tQLLAQAAowMAAA4AAAAAAAAAAQAgAAAAJwEA&#10;AGRycy9lMm9Eb2MueG1sUEsFBgAAAAAGAAYAWQEAAGQFAAAAAA==&#10;">
            <v:path arrowok="t"/>
            <v:fill focussize="0,0"/>
            <v:stroke/>
            <v:imagedata o:title=""/>
            <o:lock v:ext="edit"/>
          </v:line>
        </w:pict>
      </w:r>
    </w:p>
    <w:p>
      <w:pPr>
        <w:pStyle w:val="90"/>
        <w:framePr w:wrap="around" w:x="1727" w:y="2881"/>
        <w:rPr>
          <w:rFonts w:hAnsi="黑体"/>
        </w:rPr>
      </w:pPr>
      <w:r>
        <w:rPr>
          <w:rFonts w:hint="eastAsia" w:hAnsi="黑体"/>
        </w:rPr>
        <w:t>QB/CU X13-2022-XXXX</w:t>
      </w:r>
    </w:p>
    <w:p>
      <w:pPr>
        <w:pStyle w:val="90"/>
        <w:framePr w:wrap="around" w:x="1727" w:y="2881"/>
      </w:pPr>
    </w:p>
    <w:p>
      <w:pPr>
        <w:rPr>
          <w:sz w:val="21"/>
          <w:szCs w:val="22"/>
        </w:rPr>
      </w:pPr>
    </w:p>
    <w:p>
      <w:pPr>
        <w:rPr>
          <w:sz w:val="21"/>
          <w:szCs w:val="22"/>
        </w:rPr>
      </w:pPr>
    </w:p>
    <w:p>
      <w:pPr>
        <w:rPr>
          <w:sz w:val="21"/>
          <w:szCs w:val="22"/>
        </w:rPr>
      </w:pPr>
    </w:p>
    <w:p>
      <w:pPr>
        <w:framePr w:w="9639" w:h="6917" w:hRule="exact" w:wrap="around" w:vAnchor="page" w:hAnchor="page" w:x="1455" w:y="4344" w:anchorLock="1"/>
        <w:jc w:val="center"/>
        <w:rPr>
          <w:rFonts w:eastAsia="黑体"/>
          <w:kern w:val="0"/>
          <w:sz w:val="44"/>
          <w:szCs w:val="44"/>
        </w:rPr>
      </w:pPr>
      <w:r>
        <w:rPr>
          <w:rFonts w:hint="eastAsia" w:eastAsia="黑体"/>
          <w:kern w:val="0"/>
          <w:sz w:val="44"/>
          <w:szCs w:val="44"/>
        </w:rPr>
        <w:t>中国联通5G NR数字蜂窝移动通信网社会化基站设备网络管理南向接口数据模型技术规范</w:t>
      </w:r>
    </w:p>
    <w:p>
      <w:pPr>
        <w:framePr w:w="9639" w:h="6917" w:hRule="exact" w:wrap="around" w:vAnchor="page" w:hAnchor="page" w:x="1455" w:y="4344" w:anchorLock="1"/>
        <w:jc w:val="center"/>
        <w:rPr>
          <w:rFonts w:eastAsia="黑体"/>
          <w:kern w:val="0"/>
          <w:sz w:val="44"/>
          <w:szCs w:val="44"/>
        </w:rPr>
      </w:pPr>
    </w:p>
    <w:tbl>
      <w:tblPr>
        <w:tblStyle w:val="22"/>
        <w:tblW w:w="0" w:type="auto"/>
        <w:tblInd w:w="0" w:type="dxa"/>
        <w:tblLayout w:type="autofit"/>
        <w:tblCellMar>
          <w:top w:w="0" w:type="dxa"/>
          <w:left w:w="108" w:type="dxa"/>
          <w:bottom w:w="0" w:type="dxa"/>
          <w:right w:w="108" w:type="dxa"/>
        </w:tblCellMar>
      </w:tblPr>
      <w:tblGrid>
        <w:gridCol w:w="9855"/>
      </w:tblGrid>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92"/>
              <w:framePr w:wrap="around" w:x="1455" w:y="4344"/>
              <w:rPr>
                <w:rFonts w:ascii="黑体" w:hAnsi="黑体"/>
                <w:kern w:val="2"/>
              </w:rPr>
            </w:pPr>
            <w:r>
              <w:rPr>
                <w:rFonts w:hint="eastAsia" w:ascii="黑体" w:hAnsi="黑体"/>
              </w:rPr>
              <w:t>(V</w:t>
            </w:r>
            <w:r>
              <w:rPr>
                <w:rFonts w:hint="eastAsia" w:ascii="黑体" w:hAnsi="黑体"/>
                <w:lang w:val="en-US" w:eastAsia="zh-CN"/>
              </w:rPr>
              <w:t>1</w:t>
            </w:r>
            <w:r>
              <w:rPr>
                <w:rFonts w:ascii="黑体" w:hAnsi="黑体"/>
              </w:rPr>
              <w:t>.1</w:t>
            </w:r>
            <w:r>
              <w:rPr>
                <w:rFonts w:hint="eastAsia" w:ascii="黑体" w:hAnsi="黑体"/>
              </w:rPr>
              <w:t>)</w:t>
            </w:r>
          </w:p>
        </w:tc>
      </w:tr>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92"/>
              <w:framePr w:wrap="around" w:x="1455" w:y="4344"/>
              <w:widowControl w:val="0"/>
              <w:spacing w:line="240" w:lineRule="auto"/>
              <w:jc w:val="center"/>
              <w:rPr>
                <w:rFonts w:hint="eastAsia" w:ascii="黑体" w:hAnsi="黑体" w:eastAsia="黑体" w:cs="Times New Roman"/>
                <w:kern w:val="2"/>
                <w:szCs w:val="28"/>
                <w:lang w:val="en-US" w:eastAsia="zh-CN" w:bidi="ar-SA"/>
              </w:rPr>
            </w:pPr>
            <w:r>
              <w:rPr>
                <w:rFonts w:hint="eastAsia" w:ascii="黑体" w:hAnsi="黑体" w:eastAsia="黑体" w:cs="Times New Roman"/>
                <w:kern w:val="2"/>
                <w:szCs w:val="28"/>
                <w:lang w:val="en-US" w:eastAsia="zh-CN" w:bidi="ar-SA"/>
              </w:rPr>
              <w:t>China Unicom 5G NR Digital Cellular Mobile Communication Network Technical Specification of Southbound Interface Data Model for Micro Base Station＇s Management System</w:t>
            </w:r>
          </w:p>
          <w:p>
            <w:pPr>
              <w:pStyle w:val="93"/>
              <w:framePr w:wrap="around" w:x="1455" w:y="4344"/>
              <w:ind w:left="363"/>
              <w:rPr>
                <w:kern w:val="2"/>
              </w:rPr>
            </w:pPr>
          </w:p>
        </w:tc>
      </w:tr>
    </w:tbl>
    <w:p>
      <w:pPr>
        <w:rPr>
          <w:sz w:val="21"/>
          <w:szCs w:val="22"/>
        </w:rPr>
      </w:pPr>
    </w:p>
    <w:p>
      <w:pPr>
        <w:rPr>
          <w:sz w:val="21"/>
          <w:szCs w:val="22"/>
        </w:rPr>
      </w:pPr>
    </w:p>
    <w:p>
      <w:pPr>
        <w:rPr>
          <w:sz w:val="21"/>
          <w:szCs w:val="22"/>
        </w:rPr>
      </w:pPr>
    </w:p>
    <w:p>
      <w:pPr>
        <w:rPr>
          <w:sz w:val="21"/>
          <w:szCs w:val="22"/>
        </w:rPr>
      </w:pPr>
      <w:r>
        <w:rPr>
          <w:sz w:val="21"/>
          <w:szCs w:val="22"/>
        </w:rPr>
        <w:pict>
          <v:line id="_x0000_s1034" o:spid="_x0000_s1034" o:spt="20" style="position:absolute;left:0pt;margin-left:-29.7pt;margin-top:461.5pt;height:0pt;width:481.9pt;z-index:251663360;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p>
    <w:p>
      <w:pPr>
        <w:rPr>
          <w:sz w:val="21"/>
          <w:szCs w:val="22"/>
        </w:rPr>
      </w:pPr>
    </w:p>
    <w:p>
      <w:pPr>
        <w:pStyle w:val="94"/>
        <w:framePr w:wrap="around" w:hAnchor="page" w:x="1424" w:y="14117"/>
      </w:pPr>
      <w:r>
        <w:rPr>
          <w:rFonts w:ascii="黑体"/>
        </w:rPr>
        <w:pict>
          <v:line id="直接连接符 5" o:spid="_x0000_s1033" o:spt="20" style="position:absolute;left:0pt;margin-left:60.15pt;margin-top:437.35pt;height:0pt;width:481.9pt;z-index:251662336;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r>
        <w:rPr>
          <w:rFonts w:hint="eastAsia" w:ascii="黑体"/>
        </w:rPr>
        <w:t>202</w:t>
      </w:r>
      <w:r>
        <w:rPr>
          <w:rFonts w:ascii="黑体"/>
        </w:rPr>
        <w:t>2-</w:t>
      </w:r>
      <w:r>
        <w:rPr>
          <w:rFonts w:hint="eastAsia" w:ascii="黑体"/>
        </w:rPr>
        <w:t>12</w:t>
      </w:r>
      <w:r>
        <w:rPr>
          <w:rFonts w:ascii="黑体"/>
        </w:rPr>
        <w:t>-</w:t>
      </w:r>
      <w:r>
        <w:rPr>
          <w:rFonts w:hint="eastAsia" w:ascii="黑体"/>
        </w:rPr>
        <w:t>31</w:t>
      </w:r>
      <w:r>
        <w:rPr>
          <w:rFonts w:hint="eastAsia"/>
        </w:rPr>
        <w:t>发布</w:t>
      </w:r>
    </w:p>
    <w:p>
      <w:pPr>
        <w:rPr>
          <w:sz w:val="21"/>
          <w:szCs w:val="22"/>
        </w:rPr>
      </w:pPr>
    </w:p>
    <w:p>
      <w:pPr>
        <w:pStyle w:val="95"/>
        <w:framePr w:wrap="around" w:hAnchor="page" w:x="7134" w:y="14084"/>
      </w:pPr>
      <w:r>
        <w:rPr>
          <w:rFonts w:hint="eastAsia" w:ascii="黑体"/>
        </w:rPr>
        <w:t>202</w:t>
      </w:r>
      <w:r>
        <w:rPr>
          <w:rFonts w:ascii="黑体"/>
        </w:rPr>
        <w:t>2-</w:t>
      </w:r>
      <w:r>
        <w:rPr>
          <w:rFonts w:hint="eastAsia" w:ascii="黑体"/>
        </w:rPr>
        <w:t>12</w:t>
      </w:r>
      <w:r>
        <w:rPr>
          <w:rFonts w:ascii="黑体"/>
        </w:rPr>
        <w:t>-</w:t>
      </w:r>
      <w:r>
        <w:rPr>
          <w:rFonts w:hint="eastAsia" w:ascii="黑体"/>
        </w:rPr>
        <w:t>31</w:t>
      </w:r>
      <w:r>
        <w:rPr>
          <w:rFonts w:hint="eastAsia"/>
        </w:rPr>
        <w:t>实施</w:t>
      </w:r>
    </w:p>
    <w:p>
      <w:pPr>
        <w:rPr>
          <w:sz w:val="21"/>
          <w:szCs w:val="22"/>
        </w:rPr>
      </w:pPr>
    </w:p>
    <w:p>
      <w:pPr>
        <w:rPr>
          <w:sz w:val="21"/>
          <w:szCs w:val="22"/>
        </w:rPr>
      </w:pPr>
    </w:p>
    <w:p>
      <w:pPr>
        <w:rPr>
          <w:sz w:val="21"/>
          <w:szCs w:val="22"/>
        </w:rPr>
      </w:pPr>
    </w:p>
    <w:p>
      <w:pPr>
        <w:pStyle w:val="97"/>
        <w:framePr w:wrap="around"/>
      </w:pPr>
      <w:bookmarkStart w:id="0" w:name="fm"/>
      <w:r>
        <w:pict>
          <v:rect id="LB" o:spid="_x0000_s1029" o:spt="1" style="position:absolute;left:0pt;margin-left:142.55pt;margin-top:-310.45pt;height:24pt;width:100pt;z-index:-251655168;mso-width-relative:page;mso-height-relative:page;"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5te7W2QAAAA0BAAAPAAAAAAAAAAEAIAAA&#10;ACIAAABkcnMvZG93bnJldi54bWxQSwECFAAUAAAACACHTuJAkhDvDwsCAAAjBAAADgAAAAAAAAAB&#10;ACAAAAAoAQAAZHJzL2Uyb0RvYy54bWxQSwUGAAAAAAYABgBZAQAApQUAAAAA&#10;">
            <v:path/>
            <v:fill focussize="0,0"/>
            <v:stroke on="f"/>
            <v:imagedata o:title=""/>
            <o:lock v:ext="edit"/>
          </v:rect>
        </w:pict>
      </w:r>
      <w:r>
        <w:pict>
          <v:rect id="DT" o:spid="_x0000_s1028" o:spt="1" style="position:absolute;left:0pt;margin-left:347.55pt;margin-top:-585.45pt;height:18pt;width:90pt;z-index:-251656192;mso-width-relative:page;mso-height-relative:page;"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8mKEdoAAAAPAQAADwAAAAAAAAABACAA&#10;AAAiAAAAZHJzL2Rvd25yZXYueG1sUEsBAhQAFAAAAAgAh07iQJ2RZlYLAgAAIwQAAA4AAAAAAAAA&#10;AQAgAAAAKQEAAGRycy9lMm9Eb2MueG1sUEsFBgAAAAAGAAYAWQEAAKYFAAAAAA==&#10;">
            <v:path/>
            <v:fill focussize="0,0"/>
            <v:stroke on="f"/>
            <v:imagedata o:title=""/>
            <o:lock v:ext="edit"/>
          </v:rect>
        </w:pict>
      </w:r>
      <w:bookmarkEnd w:id="0"/>
      <w:r>
        <w:rPr>
          <w:rFonts w:hint="eastAsia"/>
        </w:rPr>
        <w:t>中国联合网络通信有限公司</w:t>
      </w:r>
      <w:r>
        <w:t>   </w:t>
      </w:r>
      <w:r>
        <w:rPr>
          <w:rStyle w:val="96"/>
          <w:rFonts w:hint="eastAsia"/>
        </w:rPr>
        <w:t>发布</w:t>
      </w:r>
    </w:p>
    <w:p/>
    <w:p/>
    <w:p>
      <w:pPr>
        <w:rPr>
          <w:b/>
        </w:rPr>
      </w:pPr>
    </w:p>
    <w:p>
      <w:pPr>
        <w:pStyle w:val="98"/>
        <w:tabs>
          <w:tab w:val="left" w:pos="3420"/>
          <w:tab w:val="center" w:pos="4156"/>
        </w:tabs>
        <w:jc w:val="left"/>
        <w:rPr>
          <w:b/>
        </w:rPr>
        <w:sectPr>
          <w:headerReference r:id="rId4" w:type="first"/>
          <w:footerReference r:id="rId5" w:type="default"/>
          <w:headerReference r:id="rId3" w:type="even"/>
          <w:pgSz w:w="11906" w:h="16838"/>
          <w:pgMar w:top="1440" w:right="1797" w:bottom="1440" w:left="1797" w:header="851" w:footer="992" w:gutter="0"/>
          <w:pgNumType w:start="1"/>
          <w:cols w:space="425" w:num="1"/>
          <w:docGrid w:linePitch="312" w:charSpace="0"/>
        </w:sectPr>
      </w:pPr>
    </w:p>
    <w:p>
      <w:pPr>
        <w:pStyle w:val="98"/>
        <w:tabs>
          <w:tab w:val="left" w:pos="3420"/>
          <w:tab w:val="center" w:pos="4156"/>
        </w:tabs>
        <w:jc w:val="left"/>
      </w:pPr>
      <w:r>
        <w:tab/>
      </w:r>
      <w:r>
        <w:rPr>
          <w:rFonts w:hint="eastAsia"/>
        </w:rPr>
        <w:t>目</w:t>
      </w:r>
      <w:bookmarkStart w:id="1" w:name="BKML"/>
      <w:r>
        <w:t>  </w:t>
      </w:r>
      <w:r>
        <w:rPr>
          <w:rFonts w:hint="eastAsia"/>
        </w:rPr>
        <w:t>次</w:t>
      </w:r>
      <w:bookmarkEnd w:id="1"/>
    </w:p>
    <w:p>
      <w:pPr>
        <w:pStyle w:val="17"/>
        <w:rPr>
          <w:rFonts w:asciiTheme="minorHAnsi" w:hAnsiTheme="minorHAnsi" w:cstheme="minorBidi"/>
          <w:b w:val="0"/>
          <w:bCs/>
          <w:szCs w:val="22"/>
          <w:lang w:val="en-US"/>
        </w:rPr>
      </w:pPr>
      <w:r>
        <w:rPr>
          <w:b w:val="0"/>
          <w:bCs/>
        </w:rPr>
        <w:fldChar w:fldCharType="begin"/>
      </w:r>
      <w:r>
        <w:rPr>
          <w:b w:val="0"/>
          <w:bCs/>
        </w:rPr>
        <w:instrText xml:space="preserve"> TOC \o "2-3" \h \z \t "标题 1,1,附录1,1" </w:instrText>
      </w:r>
      <w:r>
        <w:rPr>
          <w:b w:val="0"/>
          <w:bCs/>
        </w:rPr>
        <w:fldChar w:fldCharType="separate"/>
      </w:r>
      <w:r>
        <w:fldChar w:fldCharType="begin"/>
      </w:r>
      <w:r>
        <w:instrText xml:space="preserve"> HYPERLINK \l "_Toc89684799" </w:instrText>
      </w:r>
      <w:r>
        <w:fldChar w:fldCharType="separate"/>
      </w:r>
      <w:r>
        <w:rPr>
          <w:rStyle w:val="26"/>
          <w:rFonts w:ascii="黑体" w:hAnsi="黑体" w:eastAsia="黑体"/>
          <w:b w:val="0"/>
          <w:bCs/>
        </w:rPr>
        <w:t>1</w:t>
      </w:r>
      <w:r>
        <w:rPr>
          <w:rStyle w:val="26"/>
          <w:b w:val="0"/>
          <w:bCs/>
        </w:rPr>
        <w:t xml:space="preserve"> 范围</w:t>
      </w:r>
      <w:r>
        <w:rPr>
          <w:b w:val="0"/>
          <w:bCs/>
        </w:rPr>
        <w:tab/>
      </w:r>
      <w:r>
        <w:rPr>
          <w:b w:val="0"/>
          <w:bCs/>
        </w:rPr>
        <w:fldChar w:fldCharType="begin"/>
      </w:r>
      <w:r>
        <w:rPr>
          <w:b w:val="0"/>
          <w:bCs/>
        </w:rPr>
        <w:instrText xml:space="preserve"> PAGEREF _Toc89684799 \h </w:instrText>
      </w:r>
      <w:r>
        <w:rPr>
          <w:b w:val="0"/>
          <w:bCs/>
        </w:rPr>
        <w:fldChar w:fldCharType="separate"/>
      </w:r>
      <w:r>
        <w:rPr>
          <w:b w:val="0"/>
          <w:bCs/>
        </w:rPr>
        <w:t>1</w:t>
      </w:r>
      <w:r>
        <w:rPr>
          <w:b w:val="0"/>
          <w:bCs/>
        </w:rPr>
        <w:fldChar w:fldCharType="end"/>
      </w:r>
      <w:r>
        <w:rPr>
          <w:b w:val="0"/>
          <w:bCs/>
        </w:rPr>
        <w:fldChar w:fldCharType="end"/>
      </w:r>
    </w:p>
    <w:p>
      <w:pPr>
        <w:pStyle w:val="17"/>
        <w:rPr>
          <w:rFonts w:asciiTheme="minorHAnsi" w:hAnsiTheme="minorHAnsi" w:cstheme="minorBidi"/>
          <w:b w:val="0"/>
          <w:bCs/>
          <w:szCs w:val="22"/>
          <w:lang w:val="en-US"/>
        </w:rPr>
      </w:pPr>
      <w:r>
        <w:fldChar w:fldCharType="begin"/>
      </w:r>
      <w:r>
        <w:instrText xml:space="preserve"> HYPERLINK \l "_Toc89684800" </w:instrText>
      </w:r>
      <w:r>
        <w:fldChar w:fldCharType="separate"/>
      </w:r>
      <w:r>
        <w:rPr>
          <w:rStyle w:val="26"/>
          <w:rFonts w:ascii="黑体" w:hAnsi="黑体" w:eastAsia="黑体"/>
          <w:b w:val="0"/>
          <w:bCs/>
        </w:rPr>
        <w:t>2</w:t>
      </w:r>
      <w:r>
        <w:rPr>
          <w:rStyle w:val="26"/>
          <w:b w:val="0"/>
          <w:bCs/>
        </w:rPr>
        <w:t xml:space="preserve"> 规范性引用文件</w:t>
      </w:r>
      <w:r>
        <w:rPr>
          <w:b w:val="0"/>
          <w:bCs/>
        </w:rPr>
        <w:tab/>
      </w:r>
      <w:r>
        <w:rPr>
          <w:b w:val="0"/>
          <w:bCs/>
        </w:rPr>
        <w:fldChar w:fldCharType="begin"/>
      </w:r>
      <w:r>
        <w:rPr>
          <w:b w:val="0"/>
          <w:bCs/>
        </w:rPr>
        <w:instrText xml:space="preserve"> PAGEREF _Toc89684800 \h </w:instrText>
      </w:r>
      <w:r>
        <w:rPr>
          <w:b w:val="0"/>
          <w:bCs/>
        </w:rPr>
        <w:fldChar w:fldCharType="separate"/>
      </w:r>
      <w:r>
        <w:rPr>
          <w:b w:val="0"/>
          <w:bCs/>
        </w:rPr>
        <w:t>1</w:t>
      </w:r>
      <w:r>
        <w:rPr>
          <w:b w:val="0"/>
          <w:bCs/>
        </w:rPr>
        <w:fldChar w:fldCharType="end"/>
      </w:r>
      <w:r>
        <w:rPr>
          <w:b w:val="0"/>
          <w:bCs/>
        </w:rPr>
        <w:fldChar w:fldCharType="end"/>
      </w:r>
    </w:p>
    <w:p>
      <w:pPr>
        <w:pStyle w:val="17"/>
        <w:rPr>
          <w:rFonts w:asciiTheme="minorHAnsi" w:hAnsiTheme="minorHAnsi" w:cstheme="minorBidi"/>
          <w:b w:val="0"/>
          <w:bCs/>
          <w:szCs w:val="22"/>
          <w:lang w:val="en-US"/>
        </w:rPr>
      </w:pPr>
      <w:r>
        <w:fldChar w:fldCharType="begin"/>
      </w:r>
      <w:r>
        <w:instrText xml:space="preserve"> HYPERLINK \l "_Toc89684801" </w:instrText>
      </w:r>
      <w:r>
        <w:fldChar w:fldCharType="separate"/>
      </w:r>
      <w:r>
        <w:rPr>
          <w:rStyle w:val="26"/>
          <w:rFonts w:ascii="黑体" w:hAnsi="黑体" w:eastAsia="黑体"/>
          <w:b w:val="0"/>
          <w:bCs/>
        </w:rPr>
        <w:t>3</w:t>
      </w:r>
      <w:r>
        <w:rPr>
          <w:rStyle w:val="26"/>
          <w:b w:val="0"/>
          <w:bCs/>
        </w:rPr>
        <w:t xml:space="preserve"> 术语、定义和缩略语</w:t>
      </w:r>
      <w:r>
        <w:rPr>
          <w:b w:val="0"/>
          <w:bCs/>
        </w:rPr>
        <w:tab/>
      </w:r>
      <w:r>
        <w:rPr>
          <w:b w:val="0"/>
          <w:bCs/>
        </w:rPr>
        <w:fldChar w:fldCharType="begin"/>
      </w:r>
      <w:r>
        <w:rPr>
          <w:b w:val="0"/>
          <w:bCs/>
        </w:rPr>
        <w:instrText xml:space="preserve"> PAGEREF _Toc89684801 \h </w:instrText>
      </w:r>
      <w:r>
        <w:rPr>
          <w:b w:val="0"/>
          <w:bCs/>
        </w:rPr>
        <w:fldChar w:fldCharType="separate"/>
      </w:r>
      <w:r>
        <w:rPr>
          <w:b w:val="0"/>
          <w:bCs/>
        </w:rPr>
        <w:t>1</w:t>
      </w:r>
      <w:r>
        <w:rPr>
          <w:b w:val="0"/>
          <w:bCs/>
        </w:rPr>
        <w:fldChar w:fldCharType="end"/>
      </w:r>
      <w:r>
        <w:rPr>
          <w:b w:val="0"/>
          <w:bCs/>
        </w:rPr>
        <w:fldChar w:fldCharType="end"/>
      </w:r>
    </w:p>
    <w:p>
      <w:pPr>
        <w:pStyle w:val="17"/>
        <w:rPr>
          <w:rFonts w:asciiTheme="minorHAnsi" w:hAnsiTheme="minorHAnsi" w:cstheme="minorBidi"/>
          <w:b w:val="0"/>
          <w:bCs/>
          <w:szCs w:val="22"/>
          <w:lang w:val="en-US"/>
        </w:rPr>
      </w:pPr>
      <w:r>
        <w:fldChar w:fldCharType="begin"/>
      </w:r>
      <w:r>
        <w:instrText xml:space="preserve"> HYPERLINK \l "_Toc89684802" </w:instrText>
      </w:r>
      <w:r>
        <w:fldChar w:fldCharType="separate"/>
      </w:r>
      <w:r>
        <w:rPr>
          <w:rStyle w:val="26"/>
          <w:rFonts w:ascii="黑体" w:hAnsi="黑体" w:eastAsia="黑体"/>
          <w:b w:val="0"/>
          <w:bCs/>
        </w:rPr>
        <w:t>4</w:t>
      </w:r>
      <w:r>
        <w:rPr>
          <w:rStyle w:val="26"/>
          <w:b w:val="0"/>
          <w:bCs/>
        </w:rPr>
        <w:t xml:space="preserve"> 数据模型</w:t>
      </w:r>
      <w:r>
        <w:rPr>
          <w:b w:val="0"/>
          <w:bCs/>
        </w:rPr>
        <w:tab/>
      </w:r>
      <w:r>
        <w:rPr>
          <w:b w:val="0"/>
          <w:bCs/>
        </w:rPr>
        <w:fldChar w:fldCharType="begin"/>
      </w:r>
      <w:r>
        <w:rPr>
          <w:b w:val="0"/>
          <w:bCs/>
        </w:rPr>
        <w:instrText xml:space="preserve"> PAGEREF _Toc89684802 \h </w:instrText>
      </w:r>
      <w:r>
        <w:rPr>
          <w:b w:val="0"/>
          <w:bCs/>
        </w:rPr>
        <w:fldChar w:fldCharType="separate"/>
      </w:r>
      <w:r>
        <w:rPr>
          <w:b w:val="0"/>
          <w:bCs/>
        </w:rPr>
        <w:t>2</w:t>
      </w:r>
      <w:r>
        <w:rPr>
          <w:b w:val="0"/>
          <w:bCs/>
        </w:rPr>
        <w:fldChar w:fldCharType="end"/>
      </w:r>
      <w:r>
        <w:rPr>
          <w:b w:val="0"/>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"_Toc89684803" </w:instrText>
      </w:r>
      <w:r>
        <w:fldChar w:fldCharType="separate"/>
      </w:r>
      <w:r>
        <w:rPr>
          <w:rStyle w:val="26"/>
          <w:bCs/>
        </w:rPr>
        <w:t>4.1 概述</w:t>
      </w:r>
      <w:r>
        <w:rPr>
          <w:bCs/>
        </w:rPr>
        <w:tab/>
      </w:r>
      <w:r>
        <w:rPr>
          <w:bCs/>
        </w:rPr>
        <w:fldChar w:fldCharType="begin"/>
      </w:r>
      <w:r>
        <w:rPr>
          <w:bCs/>
        </w:rPr>
        <w:instrText xml:space="preserve"> PAGEREF _Toc89684803 \h </w:instrText>
      </w:r>
      <w:r>
        <w:rPr>
          <w:bCs/>
        </w:rPr>
        <w:fldChar w:fldCharType="separate"/>
      </w:r>
      <w:r>
        <w:rPr>
          <w:bCs/>
        </w:rPr>
        <w:t>2</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"_Toc89684804" </w:instrText>
      </w:r>
      <w:r>
        <w:fldChar w:fldCharType="separate"/>
      </w:r>
      <w:r>
        <w:rPr>
          <w:rStyle w:val="26"/>
          <w:bCs/>
        </w:rPr>
        <w:t>4.2 结构</w:t>
      </w:r>
      <w:r>
        <w:rPr>
          <w:bCs/>
        </w:rPr>
        <w:tab/>
      </w:r>
      <w:r>
        <w:rPr>
          <w:bCs/>
        </w:rPr>
        <w:fldChar w:fldCharType="begin"/>
      </w:r>
      <w:r>
        <w:rPr>
          <w:bCs/>
        </w:rPr>
        <w:instrText xml:space="preserve"> PAGEREF _Toc89684804 \h </w:instrText>
      </w:r>
      <w:r>
        <w:rPr>
          <w:bCs/>
        </w:rPr>
        <w:fldChar w:fldCharType="separate"/>
      </w:r>
      <w:r>
        <w:rPr>
          <w:bCs/>
        </w:rPr>
        <w:t>2</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"_Toc89684805" </w:instrText>
      </w:r>
      <w:r>
        <w:fldChar w:fldCharType="separate"/>
      </w:r>
      <w:r>
        <w:rPr>
          <w:rStyle w:val="26"/>
          <w:bCs/>
        </w:rPr>
        <w:t>4.3 分类</w:t>
      </w:r>
      <w:r>
        <w:rPr>
          <w:bCs/>
        </w:rPr>
        <w:tab/>
      </w:r>
      <w:r>
        <w:rPr>
          <w:bCs/>
        </w:rPr>
        <w:fldChar w:fldCharType="begin"/>
      </w:r>
      <w:r>
        <w:rPr>
          <w:bCs/>
        </w:rPr>
        <w:instrText xml:space="preserve"> PAGEREF _Toc89684805 \h </w:instrText>
      </w:r>
      <w:r>
        <w:rPr>
          <w:bCs/>
        </w:rPr>
        <w:fldChar w:fldCharType="separate"/>
      </w:r>
      <w:r>
        <w:rPr>
          <w:bCs/>
        </w:rPr>
        <w:t>3</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"_Toc89684806" </w:instrText>
      </w:r>
      <w:r>
        <w:fldChar w:fldCharType="separate"/>
      </w:r>
      <w:r>
        <w:rPr>
          <w:rStyle w:val="26"/>
          <w:bCs/>
        </w:rPr>
        <w:t>4.4 设备信息参数管理</w:t>
      </w:r>
      <w:r>
        <w:rPr>
          <w:bCs/>
        </w:rPr>
        <w:tab/>
      </w:r>
      <w:r>
        <w:rPr>
          <w:bCs/>
        </w:rPr>
        <w:fldChar w:fldCharType="begin"/>
      </w:r>
      <w:r>
        <w:rPr>
          <w:bCs/>
        </w:rPr>
        <w:instrText xml:space="preserve"> PAGEREF _Toc89684806 \h </w:instrText>
      </w:r>
      <w:r>
        <w:rPr>
          <w:bCs/>
        </w:rPr>
        <w:fldChar w:fldCharType="separate"/>
      </w:r>
      <w:r>
        <w:rPr>
          <w:bCs/>
        </w:rPr>
        <w:t>5</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"_Toc89684807" </w:instrText>
      </w:r>
      <w:r>
        <w:fldChar w:fldCharType="separate"/>
      </w:r>
      <w:r>
        <w:rPr>
          <w:rStyle w:val="26"/>
          <w:bCs/>
        </w:rPr>
        <w:t>4.5 网管设备数据模型测试</w:t>
      </w:r>
      <w:r>
        <w:rPr>
          <w:bCs/>
        </w:rPr>
        <w:tab/>
      </w:r>
      <w:r>
        <w:rPr>
          <w:bCs/>
        </w:rPr>
        <w:fldChar w:fldCharType="begin"/>
      </w:r>
      <w:r>
        <w:rPr>
          <w:bCs/>
        </w:rPr>
        <w:instrText xml:space="preserve"> PAGEREF _Toc89684807 \h </w:instrText>
      </w:r>
      <w:r>
        <w:rPr>
          <w:bCs/>
        </w:rPr>
        <w:fldChar w:fldCharType="separate"/>
      </w:r>
      <w:r>
        <w:rPr>
          <w:bCs/>
        </w:rPr>
        <w:t>15</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"_Toc89684808" </w:instrText>
      </w:r>
      <w:r>
        <w:fldChar w:fldCharType="separate"/>
      </w:r>
      <w:r>
        <w:rPr>
          <w:rStyle w:val="26"/>
          <w:bCs/>
        </w:rPr>
        <w:t>4.6 基站网管参数</w:t>
      </w:r>
      <w:r>
        <w:rPr>
          <w:bCs/>
        </w:rPr>
        <w:tab/>
      </w:r>
      <w:r>
        <w:rPr>
          <w:bCs/>
        </w:rPr>
        <w:fldChar w:fldCharType="begin"/>
      </w:r>
      <w:r>
        <w:rPr>
          <w:bCs/>
        </w:rPr>
        <w:instrText xml:space="preserve"> PAGEREF _Toc89684808 \h </w:instrText>
      </w:r>
      <w:r>
        <w:rPr>
          <w:bCs/>
        </w:rPr>
        <w:fldChar w:fldCharType="separate"/>
      </w:r>
      <w:r>
        <w:rPr>
          <w:bCs/>
        </w:rPr>
        <w:t>16</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"_Toc89684809" </w:instrText>
      </w:r>
      <w:r>
        <w:fldChar w:fldCharType="separate"/>
      </w:r>
      <w:r>
        <w:rPr>
          <w:rStyle w:val="26"/>
          <w:bCs/>
        </w:rPr>
        <w:t>4.7 告警参数</w:t>
      </w:r>
      <w:r>
        <w:rPr>
          <w:bCs/>
        </w:rPr>
        <w:tab/>
      </w:r>
      <w:r>
        <w:rPr>
          <w:bCs/>
        </w:rPr>
        <w:fldChar w:fldCharType="begin"/>
      </w:r>
      <w:r>
        <w:rPr>
          <w:bCs/>
        </w:rPr>
        <w:instrText xml:space="preserve"> PAGEREF _Toc89684809 \h </w:instrText>
      </w:r>
      <w:r>
        <w:rPr>
          <w:bCs/>
        </w:rPr>
        <w:fldChar w:fldCharType="separate"/>
      </w:r>
      <w:r>
        <w:rPr>
          <w:bCs/>
        </w:rPr>
        <w:t>18</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"_Toc89684810" </w:instrText>
      </w:r>
      <w:r>
        <w:fldChar w:fldCharType="separate"/>
      </w:r>
      <w:r>
        <w:rPr>
          <w:rStyle w:val="26"/>
          <w:bCs/>
        </w:rPr>
        <w:t>4.8 日志参数</w:t>
      </w:r>
      <w:r>
        <w:rPr>
          <w:bCs/>
        </w:rPr>
        <w:tab/>
      </w:r>
      <w:r>
        <w:rPr>
          <w:bCs/>
        </w:rPr>
        <w:fldChar w:fldCharType="begin"/>
      </w:r>
      <w:r>
        <w:rPr>
          <w:bCs/>
        </w:rPr>
        <w:instrText xml:space="preserve"> PAGEREF _Toc89684810 \h </w:instrText>
      </w:r>
      <w:r>
        <w:rPr>
          <w:bCs/>
        </w:rPr>
        <w:fldChar w:fldCharType="separate"/>
      </w:r>
      <w:r>
        <w:rPr>
          <w:bCs/>
        </w:rPr>
        <w:t>22</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"_Toc89684811" </w:instrText>
      </w:r>
      <w:r>
        <w:fldChar w:fldCharType="separate"/>
      </w:r>
      <w:r>
        <w:rPr>
          <w:rStyle w:val="26"/>
          <w:bCs/>
        </w:rPr>
        <w:t>4.9 基站配置参数</w:t>
      </w:r>
      <w:r>
        <w:rPr>
          <w:bCs/>
        </w:rPr>
        <w:tab/>
      </w:r>
      <w:r>
        <w:rPr>
          <w:bCs/>
        </w:rPr>
        <w:fldChar w:fldCharType="begin"/>
      </w:r>
      <w:r>
        <w:rPr>
          <w:bCs/>
        </w:rPr>
        <w:instrText xml:space="preserve"> PAGEREF _Toc89684811 \h </w:instrText>
      </w:r>
      <w:r>
        <w:rPr>
          <w:bCs/>
        </w:rPr>
        <w:fldChar w:fldCharType="separate"/>
      </w:r>
      <w:r>
        <w:rPr>
          <w:bCs/>
        </w:rPr>
        <w:t>23</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"_Toc89684812" </w:instrText>
      </w:r>
      <w:r>
        <w:fldChar w:fldCharType="separate"/>
      </w:r>
      <w:r>
        <w:rPr>
          <w:rStyle w:val="26"/>
          <w:bCs/>
        </w:rPr>
        <w:t>4.10 基站能力参数</w:t>
      </w:r>
      <w:r>
        <w:rPr>
          <w:bCs/>
        </w:rPr>
        <w:tab/>
      </w:r>
      <w:r>
        <w:rPr>
          <w:bCs/>
        </w:rPr>
        <w:fldChar w:fldCharType="begin"/>
      </w:r>
      <w:r>
        <w:rPr>
          <w:bCs/>
        </w:rPr>
        <w:instrText xml:space="preserve"> PAGEREF _Toc89684812 \h </w:instrText>
      </w:r>
      <w:r>
        <w:rPr>
          <w:bCs/>
        </w:rPr>
        <w:fldChar w:fldCharType="separate"/>
      </w:r>
      <w:r>
        <w:rPr>
          <w:bCs/>
        </w:rPr>
        <w:t>24</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"_Toc89684813" </w:instrText>
      </w:r>
      <w:r>
        <w:fldChar w:fldCharType="separate"/>
      </w:r>
      <w:r>
        <w:rPr>
          <w:rStyle w:val="26"/>
          <w:bCs/>
        </w:rPr>
        <w:t>4.11 小区服务能力参数</w:t>
      </w:r>
      <w:r>
        <w:rPr>
          <w:bCs/>
        </w:rPr>
        <w:tab/>
      </w:r>
      <w:r>
        <w:rPr>
          <w:bCs/>
        </w:rPr>
        <w:fldChar w:fldCharType="begin"/>
      </w:r>
      <w:r>
        <w:rPr>
          <w:bCs/>
        </w:rPr>
        <w:instrText xml:space="preserve"> PAGEREF _Toc89684813 \h </w:instrText>
      </w:r>
      <w:r>
        <w:rPr>
          <w:bCs/>
        </w:rPr>
        <w:fldChar w:fldCharType="separate"/>
      </w:r>
      <w:r>
        <w:rPr>
          <w:bCs/>
        </w:rPr>
        <w:t>25</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"_Toc89684814" </w:instrText>
      </w:r>
      <w:r>
        <w:fldChar w:fldCharType="separate"/>
      </w:r>
      <w:r>
        <w:rPr>
          <w:rStyle w:val="26"/>
          <w:bCs/>
        </w:rPr>
        <w:t>4.12 RAN协议栈参数</w:t>
      </w:r>
      <w:r>
        <w:rPr>
          <w:bCs/>
        </w:rPr>
        <w:tab/>
      </w:r>
      <w:r>
        <w:rPr>
          <w:bCs/>
        </w:rPr>
        <w:fldChar w:fldCharType="begin"/>
      </w:r>
      <w:r>
        <w:rPr>
          <w:bCs/>
        </w:rPr>
        <w:instrText xml:space="preserve"> PAGEREF _Toc89684814 \h </w:instrText>
      </w:r>
      <w:r>
        <w:rPr>
          <w:bCs/>
        </w:rPr>
        <w:fldChar w:fldCharType="separate"/>
      </w:r>
      <w:r>
        <w:rPr>
          <w:bCs/>
        </w:rPr>
        <w:t>27</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"_Toc89684815" </w:instrText>
      </w:r>
      <w:r>
        <w:fldChar w:fldCharType="separate"/>
      </w:r>
      <w:r>
        <w:rPr>
          <w:rStyle w:val="26"/>
          <w:bCs/>
        </w:rPr>
        <w:t>4.13 邻区参数</w:t>
      </w:r>
      <w:r>
        <w:rPr>
          <w:bCs/>
        </w:rPr>
        <w:tab/>
      </w:r>
      <w:r>
        <w:rPr>
          <w:bCs/>
        </w:rPr>
        <w:fldChar w:fldCharType="begin"/>
      </w:r>
      <w:r>
        <w:rPr>
          <w:bCs/>
        </w:rPr>
        <w:instrText xml:space="preserve"> PAGEREF _Toc89684815 \h </w:instrText>
      </w:r>
      <w:r>
        <w:rPr>
          <w:bCs/>
        </w:rPr>
        <w:fldChar w:fldCharType="separate"/>
      </w:r>
      <w:r>
        <w:rPr>
          <w:bCs/>
        </w:rPr>
        <w:t>41</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"_Toc89684816" </w:instrText>
      </w:r>
      <w:r>
        <w:fldChar w:fldCharType="separate"/>
      </w:r>
      <w:r>
        <w:rPr>
          <w:rStyle w:val="26"/>
          <w:bCs/>
        </w:rPr>
        <w:t>4.14 移动性参数</w:t>
      </w:r>
      <w:r>
        <w:rPr>
          <w:bCs/>
        </w:rPr>
        <w:tab/>
      </w:r>
      <w:r>
        <w:rPr>
          <w:bCs/>
        </w:rPr>
        <w:fldChar w:fldCharType="begin"/>
      </w:r>
      <w:r>
        <w:rPr>
          <w:bCs/>
        </w:rPr>
        <w:instrText xml:space="preserve"> PAGEREF _Toc89684816 \h </w:instrText>
      </w:r>
      <w:r>
        <w:rPr>
          <w:bCs/>
        </w:rPr>
        <w:fldChar w:fldCharType="separate"/>
      </w:r>
      <w:r>
        <w:rPr>
          <w:bCs/>
        </w:rPr>
        <w:t>44</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"_Toc89684817" </w:instrText>
      </w:r>
      <w:r>
        <w:fldChar w:fldCharType="separate"/>
      </w:r>
      <w:r>
        <w:rPr>
          <w:rStyle w:val="26"/>
          <w:bCs/>
        </w:rPr>
        <w:t>4.15 SCTP参数</w:t>
      </w:r>
      <w:r>
        <w:rPr>
          <w:bCs/>
        </w:rPr>
        <w:tab/>
      </w:r>
      <w:r>
        <w:rPr>
          <w:bCs/>
        </w:rPr>
        <w:fldChar w:fldCharType="begin"/>
      </w:r>
      <w:r>
        <w:rPr>
          <w:bCs/>
        </w:rPr>
        <w:instrText xml:space="preserve"> PAGEREF _Toc89684817 \h </w:instrText>
      </w:r>
      <w:r>
        <w:rPr>
          <w:bCs/>
        </w:rPr>
        <w:fldChar w:fldCharType="separate"/>
      </w:r>
      <w:r>
        <w:rPr>
          <w:bCs/>
        </w:rPr>
        <w:t>65</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"_Toc89684818" </w:instrText>
      </w:r>
      <w:r>
        <w:fldChar w:fldCharType="separate"/>
      </w:r>
      <w:r>
        <w:rPr>
          <w:rStyle w:val="26"/>
          <w:bCs/>
        </w:rPr>
        <w:t>4.16 WAN口配置参数</w:t>
      </w:r>
      <w:r>
        <w:rPr>
          <w:bCs/>
        </w:rPr>
        <w:tab/>
      </w:r>
      <w:r>
        <w:rPr>
          <w:bCs/>
        </w:rPr>
        <w:fldChar w:fldCharType="begin"/>
      </w:r>
      <w:r>
        <w:rPr>
          <w:bCs/>
        </w:rPr>
        <w:instrText xml:space="preserve"> PAGEREF _Toc89684818 \h </w:instrText>
      </w:r>
      <w:r>
        <w:rPr>
          <w:bCs/>
        </w:rPr>
        <w:fldChar w:fldCharType="separate"/>
      </w:r>
      <w:r>
        <w:rPr>
          <w:bCs/>
        </w:rPr>
        <w:t>65</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"_Toc89684819" </w:instrText>
      </w:r>
      <w:r>
        <w:fldChar w:fldCharType="separate"/>
      </w:r>
      <w:r>
        <w:rPr>
          <w:rStyle w:val="26"/>
          <w:bCs/>
        </w:rPr>
        <w:t>4.17 时间服务器参数</w:t>
      </w:r>
      <w:r>
        <w:rPr>
          <w:bCs/>
        </w:rPr>
        <w:tab/>
      </w:r>
      <w:r>
        <w:rPr>
          <w:bCs/>
        </w:rPr>
        <w:fldChar w:fldCharType="begin"/>
      </w:r>
      <w:r>
        <w:rPr>
          <w:bCs/>
        </w:rPr>
        <w:instrText xml:space="preserve"> PAGEREF _Toc89684819 \h </w:instrText>
      </w:r>
      <w:r>
        <w:rPr>
          <w:bCs/>
        </w:rPr>
        <w:fldChar w:fldCharType="separate"/>
      </w:r>
      <w:r>
        <w:rPr>
          <w:bCs/>
        </w:rPr>
        <w:t>66</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"_Toc89684820" </w:instrText>
      </w:r>
      <w:r>
        <w:fldChar w:fldCharType="separate"/>
      </w:r>
      <w:r>
        <w:rPr>
          <w:rStyle w:val="26"/>
          <w:bCs/>
        </w:rPr>
        <w:t>4.18 GPS信息参数</w:t>
      </w:r>
      <w:r>
        <w:rPr>
          <w:bCs/>
        </w:rPr>
        <w:tab/>
      </w:r>
      <w:r>
        <w:rPr>
          <w:bCs/>
        </w:rPr>
        <w:fldChar w:fldCharType="begin"/>
      </w:r>
      <w:r>
        <w:rPr>
          <w:bCs/>
        </w:rPr>
        <w:instrText xml:space="preserve"> PAGEREF _Toc89684820 \h </w:instrText>
      </w:r>
      <w:r>
        <w:rPr>
          <w:bCs/>
        </w:rPr>
        <w:fldChar w:fldCharType="separate"/>
      </w:r>
      <w:r>
        <w:rPr>
          <w:bCs/>
        </w:rPr>
        <w:t>67</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"_Toc89684821" </w:instrText>
      </w:r>
      <w:r>
        <w:fldChar w:fldCharType="separate"/>
      </w:r>
      <w:r>
        <w:rPr>
          <w:rStyle w:val="26"/>
          <w:bCs/>
        </w:rPr>
        <w:t>4.19 MR参数</w:t>
      </w:r>
      <w:r>
        <w:rPr>
          <w:bCs/>
        </w:rPr>
        <w:tab/>
      </w:r>
      <w:r>
        <w:rPr>
          <w:bCs/>
        </w:rPr>
        <w:fldChar w:fldCharType="begin"/>
      </w:r>
      <w:r>
        <w:rPr>
          <w:bCs/>
        </w:rPr>
        <w:instrText xml:space="preserve"> PAGEREF _Toc89684821 \h </w:instrText>
      </w:r>
      <w:r>
        <w:rPr>
          <w:bCs/>
        </w:rPr>
        <w:fldChar w:fldCharType="separate"/>
      </w:r>
      <w:r>
        <w:rPr>
          <w:bCs/>
        </w:rPr>
        <w:t>67</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"_Toc89684822" </w:instrText>
      </w:r>
      <w:r>
        <w:fldChar w:fldCharType="separate"/>
      </w:r>
      <w:r>
        <w:rPr>
          <w:rStyle w:val="26"/>
          <w:bCs/>
        </w:rPr>
        <w:t>4.20 性能参数</w:t>
      </w:r>
      <w:r>
        <w:rPr>
          <w:bCs/>
        </w:rPr>
        <w:tab/>
      </w:r>
      <w:r>
        <w:rPr>
          <w:bCs/>
        </w:rPr>
        <w:fldChar w:fldCharType="begin"/>
      </w:r>
      <w:r>
        <w:rPr>
          <w:bCs/>
        </w:rPr>
        <w:instrText xml:space="preserve"> PAGEREF _Toc89684822 \h </w:instrText>
      </w:r>
      <w:r>
        <w:rPr>
          <w:bCs/>
        </w:rPr>
        <w:fldChar w:fldCharType="separate"/>
      </w:r>
      <w:r>
        <w:rPr>
          <w:bCs/>
        </w:rPr>
        <w:t>69</w:t>
      </w:r>
      <w:r>
        <w:rPr>
          <w:bCs/>
        </w:rPr>
        <w:fldChar w:fldCharType="end"/>
      </w:r>
      <w:r>
        <w:rPr>
          <w:bCs/>
        </w:rPr>
        <w:fldChar w:fldCharType="end"/>
      </w:r>
    </w:p>
    <w:p>
      <w:pPr>
        <w:pStyle w:val="19"/>
        <w:tabs>
          <w:tab w:val="right" w:leader="dot" w:pos="8302"/>
        </w:tabs>
        <w:rPr>
          <w:rFonts w:asciiTheme="minorHAnsi" w:hAnsiTheme="minorHAnsi" w:eastAsiaTheme="minorEastAsia" w:cstheme="minorBidi"/>
          <w:bCs/>
          <w:szCs w:val="22"/>
        </w:rPr>
      </w:pPr>
      <w:r>
        <w:fldChar w:fldCharType="begin"/>
      </w:r>
      <w:r>
        <w:instrText xml:space="preserve"> HYPERLINK \l "_Toc89684823" </w:instrText>
      </w:r>
      <w:r>
        <w:fldChar w:fldCharType="separate"/>
      </w:r>
      <w:r>
        <w:rPr>
          <w:rStyle w:val="26"/>
          <w:bCs/>
        </w:rPr>
        <w:t>4.21 OBJECT参数读写属性</w:t>
      </w:r>
      <w:r>
        <w:rPr>
          <w:bCs/>
        </w:rPr>
        <w:tab/>
      </w:r>
      <w:r>
        <w:rPr>
          <w:bCs/>
        </w:rPr>
        <w:fldChar w:fldCharType="begin"/>
      </w:r>
      <w:r>
        <w:rPr>
          <w:bCs/>
        </w:rPr>
        <w:instrText xml:space="preserve"> PAGEREF _Toc89684823 \h </w:instrText>
      </w:r>
      <w:r>
        <w:rPr>
          <w:bCs/>
        </w:rPr>
        <w:fldChar w:fldCharType="separate"/>
      </w:r>
      <w:r>
        <w:rPr>
          <w:bCs/>
        </w:rPr>
        <w:t>70</w:t>
      </w:r>
      <w:r>
        <w:rPr>
          <w:bCs/>
        </w:rPr>
        <w:fldChar w:fldCharType="end"/>
      </w:r>
      <w:r>
        <w:rPr>
          <w:bCs/>
        </w:rPr>
        <w:fldChar w:fldCharType="end"/>
      </w:r>
    </w:p>
    <w:p>
      <w:pPr>
        <w:pStyle w:val="59"/>
        <w:ind w:firstLine="420"/>
        <w:rPr>
          <w:rFonts w:hAnsi="宋体"/>
          <w:szCs w:val="21"/>
        </w:rPr>
      </w:pPr>
      <w:r>
        <w:rPr>
          <w:rFonts w:asciiTheme="minorEastAsia" w:hAnsiTheme="minorEastAsia" w:eastAsiaTheme="minorEastAsia"/>
          <w:bCs/>
          <w:szCs w:val="21"/>
        </w:rPr>
        <w:fldChar w:fldCharType="end"/>
      </w:r>
    </w:p>
    <w:p>
      <w:pPr>
        <w:pStyle w:val="59"/>
        <w:ind w:firstLine="420"/>
      </w:pPr>
    </w:p>
    <w:p/>
    <w:p/>
    <w:p/>
    <w:p/>
    <w:p/>
    <w:p/>
    <w:p/>
    <w:p/>
    <w:p/>
    <w:p/>
    <w:p/>
    <w:p>
      <w:pPr>
        <w:pStyle w:val="99"/>
      </w:pPr>
      <w:bookmarkStart w:id="2" w:name="_Toc58938125"/>
      <w:r>
        <w:rPr>
          <w:rFonts w:hint="eastAsia"/>
        </w:rPr>
        <w:t>前</w:t>
      </w:r>
      <w:bookmarkStart w:id="3" w:name="BKQY"/>
      <w:r>
        <w:t>  </w:t>
      </w:r>
      <w:r>
        <w:rPr>
          <w:rFonts w:hint="eastAsia"/>
        </w:rPr>
        <w:t>言</w:t>
      </w:r>
      <w:bookmarkEnd w:id="2"/>
      <w:bookmarkEnd w:id="3"/>
    </w:p>
    <w:p>
      <w:pPr>
        <w:pStyle w:val="59"/>
        <w:ind w:firstLine="420"/>
        <w:rPr>
          <w:lang w:eastAsia="zh-CN"/>
        </w:rPr>
      </w:pPr>
      <w:r>
        <w:rPr>
          <w:rFonts w:hAnsi="宋体"/>
          <w:szCs w:val="21"/>
          <w:lang w:eastAsia="zh-CN"/>
        </w:rPr>
        <w:t>本</w:t>
      </w:r>
      <w:r>
        <w:rPr>
          <w:rFonts w:hint="eastAsia" w:hAnsi="宋体"/>
          <w:szCs w:val="21"/>
          <w:lang w:eastAsia="zh-CN"/>
        </w:rPr>
        <w:t>规范是中国联通5G社会化基站设备网络管理系统</w:t>
      </w:r>
      <w:r>
        <w:rPr>
          <w:rFonts w:hint="eastAsia"/>
          <w:lang w:eastAsia="zh-CN"/>
        </w:rPr>
        <w:t xml:space="preserve">南向接口系列标准之一，该系列文件的结构和名称如下： </w:t>
      </w:r>
    </w:p>
    <w:p>
      <w:pPr>
        <w:pStyle w:val="59"/>
        <w:numPr>
          <w:ilvl w:val="0"/>
          <w:numId w:val="4"/>
        </w:numPr>
        <w:rPr>
          <w:lang w:eastAsia="zh-CN"/>
        </w:rPr>
      </w:pPr>
      <w:r>
        <w:rPr>
          <w:rFonts w:hint="eastAsia"/>
          <w:lang w:eastAsia="zh-CN"/>
        </w:rPr>
        <w:t>中国联通5G社会化基站设备网络管理系统南向接口技术要求</w:t>
      </w:r>
    </w:p>
    <w:p>
      <w:pPr>
        <w:pStyle w:val="59"/>
        <w:numPr>
          <w:ilvl w:val="0"/>
          <w:numId w:val="4"/>
        </w:numPr>
        <w:rPr>
          <w:rFonts w:hAnsi="宋体"/>
          <w:szCs w:val="21"/>
          <w:lang w:eastAsia="zh-CN"/>
        </w:rPr>
      </w:pPr>
      <w:r>
        <w:rPr>
          <w:rFonts w:hint="eastAsia"/>
          <w:lang w:eastAsia="zh-CN"/>
        </w:rPr>
        <w:t>中国联通5G社会化基站设备网络管理系统南向接口数据模型规范</w:t>
      </w: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pStyle w:val="59"/>
        <w:rPr>
          <w:rFonts w:hint="eastAsia" w:hAnsi="宋体"/>
          <w:szCs w:val="21"/>
          <w:lang w:eastAsia="zh-CN"/>
        </w:rPr>
      </w:pPr>
      <w:r>
        <w:rPr>
          <w:rFonts w:hint="eastAsia" w:hAnsi="宋体"/>
          <w:szCs w:val="21"/>
          <w:lang w:eastAsia="zh-CN"/>
        </w:rPr>
        <w:t>本标准由中国联通公司网络部提出。</w:t>
      </w:r>
    </w:p>
    <w:p>
      <w:pPr>
        <w:pStyle w:val="59"/>
        <w:rPr>
          <w:rFonts w:hint="eastAsia" w:hAnsi="宋体"/>
          <w:szCs w:val="21"/>
          <w:lang w:eastAsia="zh-CN"/>
        </w:rPr>
      </w:pPr>
      <w:r>
        <w:rPr>
          <w:rFonts w:hint="eastAsia" w:hAnsi="宋体"/>
          <w:szCs w:val="21"/>
          <w:lang w:eastAsia="zh-CN"/>
        </w:rPr>
        <w:t>本标准由中国联通公司科技创新部归口。</w:t>
      </w:r>
    </w:p>
    <w:p>
      <w:pPr>
        <w:pStyle w:val="59"/>
        <w:rPr>
          <w:rFonts w:hint="eastAsia" w:hAnsi="宋体"/>
          <w:szCs w:val="21"/>
          <w:lang w:eastAsia="zh-CN"/>
        </w:rPr>
      </w:pPr>
      <w:r>
        <w:rPr>
          <w:rFonts w:hint="eastAsia" w:hAnsi="宋体"/>
          <w:szCs w:val="21"/>
          <w:lang w:eastAsia="zh-CN"/>
        </w:rPr>
        <w:t>本标准主要起草单位：中国联通研究院、中国联通公司网络部、中国联通云网中心、中国联通5G共建共享工作组、中国联通公司科技创新部。</w:t>
      </w:r>
    </w:p>
    <w:p>
      <w:pPr>
        <w:pStyle w:val="59"/>
        <w:rPr>
          <w:rFonts w:hint="eastAsia" w:hAnsi="宋体"/>
          <w:szCs w:val="21"/>
          <w:lang w:eastAsia="zh-CN"/>
        </w:rPr>
      </w:pPr>
      <w:r>
        <w:rPr>
          <w:rFonts w:hint="eastAsia" w:hAnsi="宋体"/>
          <w:szCs w:val="21"/>
          <w:lang w:eastAsia="zh-CN"/>
        </w:rPr>
        <w:t>本标准主要起草人：王东洋、张涛、李德屹、郭希蕊、李福昌、范斌、商冶、王权、范天伟、赵占强、詹伟、杨定楚。</w:t>
      </w:r>
    </w:p>
    <w:p>
      <w:pPr>
        <w:pStyle w:val="59"/>
        <w:rPr>
          <w:rFonts w:hAnsi="宋体"/>
          <w:lang w:eastAsia="zh-CN"/>
        </w:rPr>
      </w:pPr>
      <w:r>
        <w:rPr>
          <w:rFonts w:hint="eastAsia" w:hAnsi="宋体"/>
          <w:szCs w:val="21"/>
          <w:lang w:eastAsia="zh-CN"/>
        </w:rPr>
        <w:t>本标准的修改和解释权属中国联通公司</w:t>
      </w:r>
      <w:r>
        <w:rPr>
          <w:rFonts w:hAnsi="宋体"/>
          <w:szCs w:val="21"/>
          <w:lang w:eastAsia="zh-CN"/>
        </w:rPr>
        <w:t>。</w:t>
      </w:r>
    </w:p>
    <w:p>
      <w:pPr>
        <w:widowControl/>
        <w:autoSpaceDE w:val="0"/>
        <w:autoSpaceDN w:val="0"/>
        <w:rPr>
          <w:rFonts w:hAnsi="宋体"/>
          <w:sz w:val="28"/>
          <w:szCs w:val="22"/>
        </w:rPr>
        <w:sectPr>
          <w:headerReference r:id="rId6" w:type="default"/>
          <w:pgSz w:w="11906" w:h="16838"/>
          <w:pgMar w:top="1440" w:right="1797" w:bottom="1440" w:left="1797" w:header="851" w:footer="992" w:gutter="0"/>
          <w:pgNumType w:fmt="upperRoman" w:start="1"/>
          <w:cols w:space="425" w:num="1"/>
          <w:docGrid w:linePitch="312" w:charSpace="0"/>
        </w:sectPr>
      </w:pPr>
    </w:p>
    <w:p>
      <w:pPr>
        <w:jc w:val="center"/>
        <w:rPr>
          <w:rFonts w:ascii="黑体" w:hAnsi="黑体" w:eastAsia="黑体"/>
          <w:kern w:val="0"/>
          <w:sz w:val="32"/>
          <w:szCs w:val="32"/>
        </w:rPr>
      </w:pPr>
      <w:bookmarkStart w:id="4" w:name="_Toc195349713"/>
    </w:p>
    <w:bookmarkEnd w:id="4"/>
    <w:p>
      <w:pPr>
        <w:pStyle w:val="2"/>
        <w:rPr>
          <w:rFonts w:ascii="黑体" w:hAnsi="黑体" w:eastAsia="黑体"/>
          <w:b w:val="0"/>
          <w:bCs w:val="0"/>
          <w:sz w:val="21"/>
          <w:szCs w:val="21"/>
        </w:rPr>
      </w:pPr>
      <w:bookmarkStart w:id="5" w:name="_Toc89684799"/>
      <w:r>
        <w:rPr>
          <w:rFonts w:ascii="黑体" w:hAnsi="黑体" w:eastAsia="黑体"/>
          <w:b w:val="0"/>
          <w:bCs w:val="0"/>
          <w:sz w:val="21"/>
          <w:szCs w:val="21"/>
        </w:rPr>
        <w:t>范围</w:t>
      </w:r>
      <w:bookmarkEnd w:id="5"/>
    </w:p>
    <w:p>
      <w:pPr>
        <w:pStyle w:val="3"/>
        <w:spacing w:line="360" w:lineRule="auto"/>
        <w:ind w:firstLine="420"/>
        <w:rPr>
          <w:rFonts w:ascii="宋体" w:hAnsi="宋体"/>
          <w:kern w:val="0"/>
          <w:sz w:val="21"/>
          <w:szCs w:val="21"/>
        </w:rPr>
      </w:pPr>
      <w:r>
        <w:rPr>
          <w:rFonts w:hint="eastAsia" w:ascii="宋体" w:hAnsi="宋体"/>
          <w:kern w:val="0"/>
          <w:sz w:val="21"/>
          <w:szCs w:val="21"/>
        </w:rPr>
        <w:t>本标准规定了社会化基站设备的网管南向接口数据模型</w:t>
      </w:r>
      <w:r>
        <w:rPr>
          <w:rFonts w:hint="eastAsia"/>
          <w:szCs w:val="21"/>
        </w:rPr>
        <w:t>，主要包括管理类模型和业务类模型</w:t>
      </w:r>
      <w:r>
        <w:rPr>
          <w:rFonts w:hint="eastAsia" w:ascii="宋体" w:hAnsi="宋体"/>
          <w:kern w:val="0"/>
          <w:sz w:val="21"/>
          <w:szCs w:val="21"/>
        </w:rPr>
        <w:t>。</w:t>
      </w:r>
    </w:p>
    <w:p>
      <w:pPr>
        <w:pStyle w:val="3"/>
        <w:spacing w:line="240" w:lineRule="auto"/>
        <w:ind w:firstLine="420"/>
        <w:rPr>
          <w:rFonts w:ascii="宋体" w:hAnsi="宋体"/>
          <w:kern w:val="0"/>
          <w:sz w:val="21"/>
          <w:szCs w:val="21"/>
        </w:rPr>
      </w:pPr>
      <w:r>
        <w:rPr>
          <w:rFonts w:hint="eastAsia" w:ascii="宋体" w:hAnsi="宋体"/>
          <w:kern w:val="0"/>
          <w:sz w:val="21"/>
          <w:szCs w:val="21"/>
        </w:rPr>
        <w:t>中国联通社会化基站包括但不限于5G一体化微站、扩展型微站、低容量社会化宏站，等无线接入设备网元。</w:t>
      </w:r>
    </w:p>
    <w:p>
      <w:pPr>
        <w:pStyle w:val="3"/>
        <w:spacing w:line="360" w:lineRule="auto"/>
        <w:ind w:firstLine="420"/>
        <w:rPr>
          <w:rFonts w:ascii="宋体" w:hAnsi="宋体"/>
          <w:kern w:val="0"/>
          <w:sz w:val="21"/>
          <w:szCs w:val="21"/>
        </w:rPr>
      </w:pPr>
    </w:p>
    <w:p>
      <w:pPr>
        <w:pStyle w:val="2"/>
        <w:rPr>
          <w:rFonts w:ascii="黑体" w:hAnsi="黑体" w:eastAsia="黑体"/>
          <w:b w:val="0"/>
          <w:bCs w:val="0"/>
          <w:sz w:val="21"/>
          <w:szCs w:val="21"/>
        </w:rPr>
      </w:pPr>
      <w:bookmarkStart w:id="6" w:name="_Toc89684800"/>
      <w:r>
        <w:rPr>
          <w:rFonts w:ascii="黑体" w:hAnsi="黑体" w:eastAsia="黑体"/>
          <w:b w:val="0"/>
          <w:bCs w:val="0"/>
          <w:sz w:val="21"/>
          <w:szCs w:val="21"/>
        </w:rPr>
        <w:t>规范性引用文件</w:t>
      </w:r>
      <w:bookmarkEnd w:id="6"/>
    </w:p>
    <w:p>
      <w:pPr>
        <w:pStyle w:val="3"/>
        <w:spacing w:line="360" w:lineRule="auto"/>
        <w:ind w:firstLine="420"/>
        <w:rPr>
          <w:rFonts w:ascii="宋体" w:hAnsi="宋体"/>
          <w:kern w:val="0"/>
          <w:sz w:val="21"/>
          <w:szCs w:val="21"/>
        </w:rPr>
      </w:pPr>
      <w:r>
        <w:rPr>
          <w:rFonts w:ascii="宋体" w:hAnsi="宋体"/>
          <w:kern w:val="0"/>
          <w:sz w:val="21"/>
          <w:szCs w:val="21"/>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p>
      <w:pPr>
        <w:pStyle w:val="3"/>
        <w:spacing w:line="360" w:lineRule="auto"/>
        <w:ind w:firstLine="420"/>
        <w:rPr>
          <w:rFonts w:ascii="宋体" w:hAnsi="宋体"/>
          <w:kern w:val="0"/>
          <w:sz w:val="21"/>
          <w:szCs w:val="21"/>
        </w:rPr>
      </w:pPr>
    </w:p>
    <w:tbl>
      <w:tblPr>
        <w:tblStyle w:val="22"/>
        <w:tblW w:w="0" w:type="auto"/>
        <w:tblInd w:w="142" w:type="dxa"/>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autofit"/>
        <w:tblCellMar>
          <w:top w:w="0" w:type="dxa"/>
          <w:left w:w="108" w:type="dxa"/>
          <w:bottom w:w="0" w:type="dxa"/>
          <w:right w:w="108" w:type="dxa"/>
        </w:tblCellMar>
      </w:tblPr>
      <w:tblGrid>
        <w:gridCol w:w="3186"/>
        <w:gridCol w:w="5200"/>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highlight w:val="yellow"/>
              </w:rPr>
            </w:pPr>
            <w:r>
              <w:rPr>
                <w:rFonts w:ascii="宋体" w:hAnsi="宋体"/>
                <w:szCs w:val="21"/>
              </w:rPr>
              <w:t>BroadBand Forum TR-069</w:t>
            </w:r>
          </w:p>
        </w:tc>
        <w:tc>
          <w:tcPr>
            <w:tcW w:w="6185" w:type="dxa"/>
          </w:tcPr>
          <w:p>
            <w:pPr>
              <w:spacing w:line="300" w:lineRule="auto"/>
              <w:rPr>
                <w:rFonts w:ascii="宋体" w:hAnsi="宋体"/>
                <w:szCs w:val="21"/>
              </w:rPr>
            </w:pPr>
            <w:r>
              <w:rPr>
                <w:rFonts w:ascii="宋体" w:hAnsi="宋体"/>
                <w:szCs w:val="21"/>
              </w:rPr>
              <w:t>CPE WAN Management Protocol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szCs w:val="21"/>
              </w:rPr>
            </w:pPr>
            <w:r>
              <w:rPr>
                <w:rFonts w:hint="eastAsia" w:ascii="宋体" w:hAnsi="宋体"/>
                <w:szCs w:val="21"/>
              </w:rPr>
              <w:t>BroadBand Forum</w:t>
            </w:r>
          </w:p>
          <w:p>
            <w:pPr>
              <w:spacing w:line="300" w:lineRule="auto"/>
              <w:rPr>
                <w:rFonts w:ascii="宋体" w:hAnsi="宋体"/>
                <w:szCs w:val="21"/>
              </w:rPr>
            </w:pPr>
            <w:r>
              <w:rPr>
                <w:rFonts w:hint="eastAsia" w:ascii="宋体" w:hAnsi="宋体"/>
                <w:szCs w:val="21"/>
              </w:rPr>
              <w:t>TR-181_Issue-2_Amendment-13</w:t>
            </w:r>
          </w:p>
        </w:tc>
        <w:tc>
          <w:tcPr>
            <w:tcW w:w="6185" w:type="dxa"/>
          </w:tcPr>
          <w:p>
            <w:pPr>
              <w:spacing w:line="300" w:lineRule="auto"/>
              <w:rPr>
                <w:rFonts w:ascii="宋体" w:hAnsi="宋体"/>
                <w:szCs w:val="21"/>
              </w:rPr>
            </w:pPr>
            <w:r>
              <w:rPr>
                <w:rFonts w:hint="eastAsia" w:ascii="宋体" w:hAnsi="宋体"/>
                <w:szCs w:val="21"/>
              </w:rPr>
              <w:t>Device Data Model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szCs w:val="21"/>
              </w:rPr>
            </w:pPr>
            <w:r>
              <w:rPr>
                <w:rFonts w:hint="eastAsia" w:ascii="宋体" w:hAnsi="宋体"/>
                <w:szCs w:val="21"/>
              </w:rPr>
              <w:t xml:space="preserve">BroadBand Forum </w:t>
            </w:r>
          </w:p>
          <w:p>
            <w:pPr>
              <w:spacing w:line="300" w:lineRule="auto"/>
              <w:rPr>
                <w:rFonts w:ascii="宋体" w:hAnsi="宋体"/>
                <w:szCs w:val="21"/>
              </w:rPr>
            </w:pPr>
            <w:r>
              <w:rPr>
                <w:rFonts w:hint="eastAsia" w:ascii="宋体" w:hAnsi="宋体"/>
                <w:szCs w:val="21"/>
              </w:rPr>
              <w:t>TR-196_Issue-2</w:t>
            </w:r>
          </w:p>
        </w:tc>
        <w:tc>
          <w:tcPr>
            <w:tcW w:w="6185" w:type="dxa"/>
          </w:tcPr>
          <w:p>
            <w:pPr>
              <w:spacing w:line="300" w:lineRule="auto"/>
              <w:rPr>
                <w:rFonts w:ascii="宋体" w:hAnsi="宋体"/>
                <w:szCs w:val="21"/>
              </w:rPr>
            </w:pPr>
            <w:r>
              <w:rPr>
                <w:rFonts w:hint="eastAsia" w:ascii="宋体" w:hAnsi="宋体"/>
                <w:szCs w:val="21"/>
              </w:rPr>
              <w:t>Femto Access Point Service Data Model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highlight w:val="yellow"/>
              </w:rPr>
            </w:pPr>
            <w:r>
              <w:rPr>
                <w:rFonts w:ascii="宋体" w:hAnsi="宋体"/>
                <w:szCs w:val="21"/>
              </w:rPr>
              <w:t>3GPP TS 32.591</w:t>
            </w:r>
          </w:p>
        </w:tc>
        <w:tc>
          <w:tcPr>
            <w:tcW w:w="6185" w:type="dxa"/>
          </w:tcPr>
          <w:p>
            <w:pPr>
              <w:spacing w:line="300" w:lineRule="auto"/>
              <w:rPr>
                <w:rFonts w:ascii="宋体" w:hAnsi="宋体" w:cs="宋体"/>
                <w:szCs w:val="21"/>
                <w:highlight w:val="yellow"/>
              </w:rPr>
            </w:pPr>
            <w:r>
              <w:rPr>
                <w:rFonts w:ascii="宋体" w:hAnsi="宋体"/>
                <w:szCs w:val="21"/>
              </w:rPr>
              <w:t>Concepts and requirements for Type 1 interface HeNB to HeNB Management System (HeMS)</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rPr>
            </w:pPr>
            <w:r>
              <w:rPr>
                <w:rFonts w:ascii="宋体" w:hAnsi="宋体"/>
                <w:szCs w:val="21"/>
              </w:rPr>
              <w:t>3GPP TS 32.592</w:t>
            </w:r>
          </w:p>
        </w:tc>
        <w:tc>
          <w:tcPr>
            <w:tcW w:w="6185" w:type="dxa"/>
          </w:tcPr>
          <w:p>
            <w:pPr>
              <w:spacing w:line="300" w:lineRule="auto"/>
              <w:rPr>
                <w:rFonts w:ascii="宋体" w:hAnsi="宋体" w:cs="宋体"/>
                <w:szCs w:val="21"/>
              </w:rPr>
            </w:pPr>
            <w:r>
              <w:rPr>
                <w:rFonts w:ascii="宋体" w:hAnsi="宋体"/>
                <w:szCs w:val="21"/>
              </w:rPr>
              <w:t>Information model for Type 1 interface HeNB to HeNB Management System (HeMS)</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rPr>
            </w:pPr>
            <w:r>
              <w:rPr>
                <w:rFonts w:ascii="宋体" w:hAnsi="宋体"/>
                <w:szCs w:val="21"/>
              </w:rPr>
              <w:t>3GPP TS 32.593</w:t>
            </w:r>
          </w:p>
        </w:tc>
        <w:tc>
          <w:tcPr>
            <w:tcW w:w="6185" w:type="dxa"/>
          </w:tcPr>
          <w:p>
            <w:pPr>
              <w:spacing w:line="300" w:lineRule="auto"/>
              <w:rPr>
                <w:rFonts w:ascii="宋体" w:hAnsi="宋体" w:cs="宋体"/>
                <w:szCs w:val="21"/>
              </w:rPr>
            </w:pPr>
            <w:r>
              <w:rPr>
                <w:rFonts w:ascii="宋体" w:hAnsi="宋体"/>
                <w:szCs w:val="21"/>
              </w:rPr>
              <w:t>Procedure flows for Type 1 interface HeNB to HeNB Management System (HeMS)</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rPr>
            </w:pPr>
            <w:r>
              <w:rPr>
                <w:rFonts w:ascii="宋体" w:hAnsi="宋体"/>
                <w:szCs w:val="21"/>
              </w:rPr>
              <w:t>3GPP TS 32.594</w:t>
            </w:r>
          </w:p>
        </w:tc>
        <w:tc>
          <w:tcPr>
            <w:tcW w:w="6185" w:type="dxa"/>
          </w:tcPr>
          <w:p>
            <w:pPr>
              <w:spacing w:line="300" w:lineRule="auto"/>
              <w:rPr>
                <w:rFonts w:ascii="宋体" w:hAnsi="宋体" w:cs="宋体"/>
                <w:szCs w:val="21"/>
              </w:rPr>
            </w:pPr>
            <w:r>
              <w:rPr>
                <w:rFonts w:ascii="宋体" w:hAnsi="宋体"/>
                <w:szCs w:val="21"/>
              </w:rPr>
              <w:t>Data definitions for Type 1 interface HeNB to HeNB Management System (HeMS)</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c>
          <w:tcPr>
            <w:tcW w:w="1985" w:type="dxa"/>
          </w:tcPr>
          <w:p>
            <w:pPr>
              <w:spacing w:line="300" w:lineRule="auto"/>
              <w:rPr>
                <w:rFonts w:ascii="宋体" w:hAnsi="宋体" w:cs="宋体"/>
                <w:szCs w:val="21"/>
              </w:rPr>
            </w:pPr>
            <w:r>
              <w:rPr>
                <w:rFonts w:hint="eastAsia" w:ascii="宋体" w:hAnsi="宋体" w:cs="宋体"/>
                <w:szCs w:val="21"/>
              </w:rPr>
              <w:t>QB</w:t>
            </w:r>
            <w:r>
              <w:rPr>
                <w:rFonts w:ascii="宋体" w:hAnsi="宋体" w:cs="宋体"/>
                <w:szCs w:val="21"/>
              </w:rPr>
              <w:t>/CU 058</w:t>
            </w:r>
            <w:r>
              <w:rPr>
                <w:rFonts w:hint="eastAsia" w:ascii="宋体" w:hAnsi="宋体" w:cs="宋体"/>
                <w:szCs w:val="21"/>
              </w:rPr>
              <w:t>（2</w:t>
            </w:r>
            <w:r>
              <w:rPr>
                <w:rFonts w:ascii="宋体" w:hAnsi="宋体" w:cs="宋体"/>
                <w:szCs w:val="21"/>
              </w:rPr>
              <w:t>020</w:t>
            </w:r>
            <w:r>
              <w:rPr>
                <w:rFonts w:hint="eastAsia" w:ascii="宋体" w:hAnsi="宋体" w:cs="宋体"/>
                <w:szCs w:val="21"/>
              </w:rPr>
              <w:t>）</w:t>
            </w:r>
          </w:p>
        </w:tc>
        <w:tc>
          <w:tcPr>
            <w:tcW w:w="6185" w:type="dxa"/>
          </w:tcPr>
          <w:p>
            <w:pPr>
              <w:spacing w:line="300" w:lineRule="auto"/>
              <w:rPr>
                <w:rFonts w:ascii="宋体" w:hAnsi="宋体" w:cs="宋体"/>
                <w:szCs w:val="21"/>
              </w:rPr>
            </w:pPr>
            <w:r>
              <w:rPr>
                <w:rFonts w:hint="eastAsia" w:ascii="宋体" w:hAnsi="宋体"/>
                <w:kern w:val="0"/>
                <w:sz w:val="21"/>
                <w:szCs w:val="21"/>
              </w:rPr>
              <w:t>中国联通移动网络优化及业务分析指标体系-第13部分：5GNSA系统侧无线参数配置定义及映射（V2.0）</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PrEx>
        <w:tc>
          <w:tcPr>
            <w:tcW w:w="1985" w:type="dxa"/>
          </w:tcPr>
          <w:p>
            <w:pPr>
              <w:spacing w:line="300" w:lineRule="auto"/>
              <w:rPr>
                <w:rFonts w:ascii="宋体" w:hAnsi="宋体" w:cs="宋体"/>
                <w:szCs w:val="21"/>
              </w:rPr>
            </w:pPr>
            <w:r>
              <w:rPr>
                <w:rFonts w:hint="eastAsia" w:ascii="宋体" w:hAnsi="宋体" w:cs="宋体"/>
                <w:szCs w:val="21"/>
              </w:rPr>
              <w:t>QB</w:t>
            </w:r>
            <w:r>
              <w:rPr>
                <w:rFonts w:ascii="宋体" w:hAnsi="宋体" w:cs="宋体"/>
                <w:szCs w:val="21"/>
              </w:rPr>
              <w:t>/CU 060(2020)</w:t>
            </w:r>
          </w:p>
        </w:tc>
        <w:tc>
          <w:tcPr>
            <w:tcW w:w="6185" w:type="dxa"/>
          </w:tcPr>
          <w:p>
            <w:pPr>
              <w:rPr>
                <w:rFonts w:ascii="宋体" w:hAnsi="宋体" w:cs="宋体"/>
                <w:szCs w:val="21"/>
              </w:rPr>
            </w:pPr>
            <w:r>
              <w:rPr>
                <w:rFonts w:hint="eastAsia" w:ascii="宋体" w:hAnsi="宋体"/>
                <w:kern w:val="0"/>
                <w:sz w:val="21"/>
                <w:szCs w:val="21"/>
              </w:rPr>
              <w:t>中国联通移动网络优化及业务分析指标体系-第15部分：5GSA系统侧无线参数配置定义及映射 (V1.0)</w:t>
            </w:r>
          </w:p>
        </w:tc>
      </w:tr>
    </w:tbl>
    <w:p>
      <w:pPr>
        <w:pStyle w:val="2"/>
        <w:rPr>
          <w:rFonts w:ascii="黑体" w:hAnsi="黑体" w:eastAsia="黑体"/>
          <w:b w:val="0"/>
          <w:bCs w:val="0"/>
          <w:sz w:val="21"/>
          <w:szCs w:val="28"/>
        </w:rPr>
      </w:pPr>
      <w:bookmarkStart w:id="7" w:name="_Toc89684801"/>
      <w:r>
        <w:rPr>
          <w:rFonts w:ascii="黑体" w:hAnsi="黑体" w:eastAsia="黑体"/>
          <w:b w:val="0"/>
          <w:bCs w:val="0"/>
          <w:sz w:val="21"/>
          <w:szCs w:val="28"/>
        </w:rPr>
        <w:t>术语、定义和缩略语</w:t>
      </w:r>
      <w:bookmarkEnd w:id="7"/>
    </w:p>
    <w:p>
      <w:pPr>
        <w:pStyle w:val="3"/>
        <w:spacing w:line="360" w:lineRule="auto"/>
        <w:ind w:firstLine="420"/>
        <w:rPr>
          <w:rFonts w:ascii="宋体" w:hAnsi="宋体"/>
          <w:kern w:val="0"/>
          <w:sz w:val="21"/>
          <w:szCs w:val="21"/>
        </w:rPr>
      </w:pPr>
      <w:r>
        <w:rPr>
          <w:rFonts w:ascii="宋体" w:hAnsi="宋体"/>
          <w:kern w:val="0"/>
          <w:sz w:val="21"/>
          <w:szCs w:val="21"/>
        </w:rPr>
        <w:t>下列术语、定义和缩略语适用于本标准</w:t>
      </w:r>
      <w:r>
        <w:rPr>
          <w:rFonts w:hint="eastAsia" w:ascii="宋体" w:hAnsi="宋体"/>
          <w:kern w:val="0"/>
          <w:sz w:val="21"/>
          <w:szCs w:val="21"/>
        </w:rPr>
        <w:t>：</w:t>
      </w:r>
    </w:p>
    <w:tbl>
      <w:tblPr>
        <w:tblStyle w:val="22"/>
        <w:tblpPr w:leftFromText="180" w:rightFromText="180" w:vertAnchor="text" w:horzAnchor="page" w:tblpXSpec="center" w:tblpY="72"/>
        <w:tblOverlap w:val="never"/>
        <w:tblW w:w="0" w:type="auto"/>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701"/>
        <w:gridCol w:w="3402"/>
        <w:gridCol w:w="3261"/>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bookmarkStart w:id="8" w:name="_Toc241922487"/>
            <w:r>
              <w:rPr>
                <w:rFonts w:hAnsi="等线" w:eastAsia="等线"/>
                <w:szCs w:val="18"/>
              </w:rPr>
              <w:t>ACS</w:t>
            </w:r>
          </w:p>
        </w:tc>
        <w:tc>
          <w:tcPr>
            <w:tcW w:w="3402" w:type="dxa"/>
          </w:tcPr>
          <w:p>
            <w:pPr>
              <w:rPr>
                <w:rFonts w:hAnsi="等线" w:eastAsia="等线"/>
                <w:szCs w:val="18"/>
              </w:rPr>
            </w:pPr>
            <w:r>
              <w:rPr>
                <w:rFonts w:hint="eastAsia" w:hAnsi="等线" w:eastAsia="等线"/>
                <w:szCs w:val="18"/>
              </w:rPr>
              <w:t>自动配置服务器</w:t>
            </w:r>
          </w:p>
        </w:tc>
        <w:tc>
          <w:tcPr>
            <w:tcW w:w="3261" w:type="dxa"/>
          </w:tcPr>
          <w:p>
            <w:pPr>
              <w:rPr>
                <w:rFonts w:hAnsi="等线" w:eastAsia="等线"/>
                <w:szCs w:val="18"/>
              </w:rPr>
            </w:pPr>
            <w:r>
              <w:rPr>
                <w:rFonts w:hAnsi="等线" w:eastAsia="等线"/>
                <w:szCs w:val="18"/>
              </w:rPr>
              <w:t>Auto-Configuration Server</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CPE</w:t>
            </w:r>
          </w:p>
        </w:tc>
        <w:tc>
          <w:tcPr>
            <w:tcW w:w="3402" w:type="dxa"/>
          </w:tcPr>
          <w:p>
            <w:pPr>
              <w:rPr>
                <w:rFonts w:hAnsi="等线" w:eastAsia="等线"/>
                <w:szCs w:val="18"/>
              </w:rPr>
            </w:pPr>
            <w:r>
              <w:rPr>
                <w:rFonts w:hint="eastAsia" w:hAnsi="等线" w:eastAsia="等线"/>
                <w:szCs w:val="18"/>
              </w:rPr>
              <w:t>客户端设备</w:t>
            </w:r>
          </w:p>
        </w:tc>
        <w:tc>
          <w:tcPr>
            <w:tcW w:w="3261" w:type="dxa"/>
          </w:tcPr>
          <w:p>
            <w:pPr>
              <w:rPr>
                <w:rFonts w:hAnsi="等线" w:eastAsia="等线"/>
                <w:szCs w:val="18"/>
              </w:rPr>
            </w:pPr>
            <w:r>
              <w:rPr>
                <w:rFonts w:hAnsi="等线" w:eastAsia="等线"/>
                <w:szCs w:val="18"/>
              </w:rPr>
              <w:t>Customer Premises Equipment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CWMP/TR-069</w:t>
            </w:r>
          </w:p>
        </w:tc>
        <w:tc>
          <w:tcPr>
            <w:tcW w:w="3402" w:type="dxa"/>
          </w:tcPr>
          <w:p>
            <w:pPr>
              <w:rPr>
                <w:rFonts w:hAnsi="等线" w:eastAsia="等线"/>
                <w:szCs w:val="18"/>
              </w:rPr>
            </w:pPr>
            <w:r>
              <w:rPr>
                <w:rFonts w:hint="eastAsia" w:hAnsi="等线" w:eastAsia="等线"/>
                <w:szCs w:val="18"/>
              </w:rPr>
              <w:t>用户终端设备广域网管理协议</w:t>
            </w:r>
          </w:p>
        </w:tc>
        <w:tc>
          <w:tcPr>
            <w:tcW w:w="3261" w:type="dxa"/>
          </w:tcPr>
          <w:p>
            <w:pPr>
              <w:rPr>
                <w:rFonts w:hAnsi="等线" w:eastAsia="等线"/>
                <w:szCs w:val="18"/>
              </w:rPr>
            </w:pPr>
            <w:r>
              <w:rPr>
                <w:rFonts w:hAnsi="等线" w:eastAsia="等线"/>
                <w:szCs w:val="18"/>
              </w:rPr>
              <w:t>CPE WAN Management Protocol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rPr>
              <w:t>DU</w:t>
            </w:r>
          </w:p>
        </w:tc>
        <w:tc>
          <w:tcPr>
            <w:tcW w:w="3402" w:type="dxa"/>
          </w:tcPr>
          <w:p>
            <w:pPr>
              <w:rPr>
                <w:rFonts w:hAnsi="等线" w:eastAsia="等线"/>
                <w:szCs w:val="18"/>
              </w:rPr>
            </w:pPr>
            <w:r>
              <w:rPr>
                <w:rFonts w:hint="eastAsia" w:hAnsi="等线" w:eastAsia="等线"/>
                <w:szCs w:val="18"/>
              </w:rPr>
              <w:t>配置单元</w:t>
            </w:r>
          </w:p>
        </w:tc>
        <w:tc>
          <w:tcPr>
            <w:tcW w:w="3261" w:type="dxa"/>
          </w:tcPr>
          <w:p>
            <w:pPr>
              <w:rPr>
                <w:rFonts w:hAnsi="等线" w:eastAsia="等线"/>
                <w:szCs w:val="18"/>
              </w:rPr>
            </w:pPr>
            <w:r>
              <w:rPr>
                <w:rFonts w:hAnsi="等线" w:eastAsia="等线"/>
                <w:szCs w:val="18"/>
              </w:rPr>
              <w:t>Deployment Unit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int="eastAsia" w:hAnsi="等线" w:eastAsia="等线"/>
                <w:szCs w:val="18"/>
              </w:rPr>
              <w:t>EU</w:t>
            </w:r>
          </w:p>
        </w:tc>
        <w:tc>
          <w:tcPr>
            <w:tcW w:w="3402" w:type="dxa"/>
          </w:tcPr>
          <w:p>
            <w:pPr>
              <w:rPr>
                <w:rFonts w:hAnsi="等线" w:eastAsia="等线"/>
                <w:szCs w:val="18"/>
              </w:rPr>
            </w:pPr>
            <w:r>
              <w:rPr>
                <w:rFonts w:hint="eastAsia" w:hAnsi="等线" w:eastAsia="等线"/>
                <w:szCs w:val="18"/>
              </w:rPr>
              <w:t>扩展单元</w:t>
            </w:r>
          </w:p>
        </w:tc>
        <w:tc>
          <w:tcPr>
            <w:tcW w:w="3261" w:type="dxa"/>
          </w:tcPr>
          <w:p>
            <w:pPr>
              <w:rPr>
                <w:rFonts w:hAnsi="等线" w:eastAsia="等线"/>
                <w:szCs w:val="18"/>
              </w:rPr>
            </w:pPr>
            <w:r>
              <w:rPr>
                <w:rFonts w:hint="eastAsia" w:hAnsi="等线" w:eastAsia="等线"/>
                <w:szCs w:val="18"/>
              </w:rPr>
              <w:t>Extand</w:t>
            </w:r>
            <w:r>
              <w:rPr>
                <w:rFonts w:hAnsi="等线" w:eastAsia="等线"/>
                <w:szCs w:val="18"/>
              </w:rPr>
              <w:t xml:space="preserve"> Unit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HTTP</w:t>
            </w:r>
          </w:p>
        </w:tc>
        <w:tc>
          <w:tcPr>
            <w:tcW w:w="3402" w:type="dxa"/>
          </w:tcPr>
          <w:p>
            <w:pPr>
              <w:rPr>
                <w:rFonts w:hAnsi="等线" w:eastAsia="等线"/>
                <w:szCs w:val="18"/>
              </w:rPr>
            </w:pPr>
            <w:r>
              <w:rPr>
                <w:rFonts w:hint="eastAsia" w:hAnsi="等线" w:eastAsia="等线"/>
                <w:szCs w:val="18"/>
              </w:rPr>
              <w:t>超文本传输协议</w:t>
            </w:r>
          </w:p>
        </w:tc>
        <w:tc>
          <w:tcPr>
            <w:tcW w:w="3261" w:type="dxa"/>
          </w:tcPr>
          <w:p>
            <w:pPr>
              <w:rPr>
                <w:rFonts w:hAnsi="等线" w:eastAsia="等线"/>
                <w:szCs w:val="18"/>
              </w:rPr>
            </w:pPr>
            <w:r>
              <w:rPr>
                <w:rFonts w:hAnsi="等线" w:eastAsia="等线"/>
                <w:szCs w:val="18"/>
              </w:rPr>
              <w:t>Hypertext Transfer Protocol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Itf-S</w:t>
            </w:r>
          </w:p>
        </w:tc>
        <w:tc>
          <w:tcPr>
            <w:tcW w:w="3402" w:type="dxa"/>
          </w:tcPr>
          <w:p>
            <w:pPr>
              <w:rPr>
                <w:rFonts w:hAnsi="等线" w:eastAsia="等线"/>
                <w:szCs w:val="18"/>
              </w:rPr>
            </w:pPr>
            <w:r>
              <w:rPr>
                <w:rFonts w:hint="eastAsia" w:hAnsi="等线" w:eastAsia="等线"/>
                <w:szCs w:val="18"/>
              </w:rPr>
              <w:t>南向接口</w:t>
            </w:r>
          </w:p>
        </w:tc>
        <w:tc>
          <w:tcPr>
            <w:tcW w:w="3261" w:type="dxa"/>
          </w:tcPr>
          <w:p>
            <w:pPr>
              <w:rPr>
                <w:rFonts w:hAnsi="等线" w:eastAsia="等线"/>
                <w:szCs w:val="18"/>
              </w:rPr>
            </w:pPr>
            <w:r>
              <w:rPr>
                <w:rFonts w:hAnsi="等线" w:eastAsia="等线"/>
                <w:szCs w:val="18"/>
              </w:rPr>
              <w:t>Southbound Interface</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int="eastAsia" w:hAnsi="等线" w:eastAsia="等线"/>
                <w:szCs w:val="18"/>
              </w:rPr>
              <w:t>MU</w:t>
            </w:r>
          </w:p>
        </w:tc>
        <w:tc>
          <w:tcPr>
            <w:tcW w:w="3402" w:type="dxa"/>
          </w:tcPr>
          <w:p>
            <w:pPr>
              <w:rPr>
                <w:rFonts w:hAnsi="等线" w:eastAsia="等线"/>
                <w:szCs w:val="18"/>
              </w:rPr>
            </w:pPr>
            <w:r>
              <w:rPr>
                <w:rFonts w:hint="eastAsia" w:hAnsi="等线" w:eastAsia="等线"/>
                <w:szCs w:val="18"/>
              </w:rPr>
              <w:t>主机单元</w:t>
            </w:r>
          </w:p>
        </w:tc>
        <w:tc>
          <w:tcPr>
            <w:tcW w:w="3261" w:type="dxa"/>
          </w:tcPr>
          <w:p>
            <w:pPr>
              <w:rPr>
                <w:rFonts w:hAnsi="等线" w:eastAsia="等线"/>
                <w:szCs w:val="18"/>
              </w:rPr>
            </w:pPr>
            <w:r>
              <w:rPr>
                <w:rFonts w:hint="eastAsia" w:hAnsi="等线" w:eastAsia="等线"/>
                <w:szCs w:val="18"/>
              </w:rPr>
              <w:t>Main</w:t>
            </w:r>
            <w:r>
              <w:rPr>
                <w:rFonts w:hAnsi="等线" w:eastAsia="等线"/>
                <w:szCs w:val="18"/>
              </w:rPr>
              <w:t xml:space="preserve"> Unit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int="eastAsia" w:hAnsi="等线" w:eastAsia="等线"/>
              </w:rPr>
              <w:t>OUI</w:t>
            </w:r>
          </w:p>
        </w:tc>
        <w:tc>
          <w:tcPr>
            <w:tcW w:w="3402" w:type="dxa"/>
          </w:tcPr>
          <w:p>
            <w:pPr>
              <w:rPr>
                <w:rFonts w:hAnsi="等线" w:eastAsia="等线"/>
                <w:szCs w:val="18"/>
              </w:rPr>
            </w:pPr>
            <w:r>
              <w:rPr>
                <w:rFonts w:hint="eastAsia" w:hAnsi="等线" w:eastAsia="等线"/>
                <w:szCs w:val="18"/>
              </w:rPr>
              <w:t>厂家唯一标识</w:t>
            </w:r>
          </w:p>
        </w:tc>
        <w:tc>
          <w:tcPr>
            <w:tcW w:w="3261" w:type="dxa"/>
          </w:tcPr>
          <w:p>
            <w:pPr>
              <w:rPr>
                <w:rFonts w:hAnsi="等线" w:eastAsia="等线"/>
                <w:szCs w:val="18"/>
              </w:rPr>
            </w:pPr>
            <w:r>
              <w:rPr>
                <w:rFonts w:hAnsi="等线" w:eastAsia="等线"/>
                <w:szCs w:val="18"/>
              </w:rPr>
              <w:t>Organizationally Unique Identifier</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RPC</w:t>
            </w:r>
          </w:p>
        </w:tc>
        <w:tc>
          <w:tcPr>
            <w:tcW w:w="3402" w:type="dxa"/>
          </w:tcPr>
          <w:p>
            <w:pPr>
              <w:rPr>
                <w:rFonts w:hAnsi="等线" w:eastAsia="等线"/>
                <w:szCs w:val="18"/>
              </w:rPr>
            </w:pPr>
            <w:r>
              <w:rPr>
                <w:rFonts w:hint="eastAsia" w:hAnsi="等线" w:eastAsia="等线"/>
                <w:szCs w:val="18"/>
              </w:rPr>
              <w:t>远程过程调用</w:t>
            </w:r>
          </w:p>
        </w:tc>
        <w:tc>
          <w:tcPr>
            <w:tcW w:w="3261" w:type="dxa"/>
          </w:tcPr>
          <w:p>
            <w:pPr>
              <w:rPr>
                <w:rFonts w:hAnsi="等线" w:eastAsia="等线"/>
                <w:szCs w:val="18"/>
              </w:rPr>
            </w:pPr>
            <w:r>
              <w:rPr>
                <w:rFonts w:hAnsi="等线" w:eastAsia="等线"/>
                <w:szCs w:val="18"/>
              </w:rPr>
              <w:t>Remote Procedure Call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int="eastAsia" w:hAnsi="等线" w:eastAsia="等线"/>
                <w:szCs w:val="18"/>
              </w:rPr>
              <w:t>RU</w:t>
            </w:r>
          </w:p>
        </w:tc>
        <w:tc>
          <w:tcPr>
            <w:tcW w:w="3402" w:type="dxa"/>
          </w:tcPr>
          <w:p>
            <w:pPr>
              <w:rPr>
                <w:rFonts w:hAnsi="等线" w:eastAsia="等线"/>
                <w:szCs w:val="18"/>
              </w:rPr>
            </w:pPr>
            <w:r>
              <w:rPr>
                <w:rFonts w:hint="eastAsia" w:hAnsi="等线" w:eastAsia="等线"/>
                <w:szCs w:val="18"/>
              </w:rPr>
              <w:t>射频单元</w:t>
            </w:r>
          </w:p>
        </w:tc>
        <w:tc>
          <w:tcPr>
            <w:tcW w:w="3261" w:type="dxa"/>
          </w:tcPr>
          <w:p>
            <w:pPr>
              <w:rPr>
                <w:rFonts w:hAnsi="等线" w:eastAsia="等线"/>
                <w:szCs w:val="18"/>
              </w:rPr>
            </w:pPr>
            <w:r>
              <w:rPr>
                <w:rFonts w:hint="eastAsia" w:hAnsi="等线" w:eastAsia="等线"/>
                <w:szCs w:val="18"/>
              </w:rPr>
              <w:t>Radio</w:t>
            </w:r>
            <w:r>
              <w:rPr>
                <w:rFonts w:hAnsi="等线" w:eastAsia="等线"/>
                <w:szCs w:val="18"/>
              </w:rPr>
              <w:t xml:space="preserve"> Unit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SCMS</w:t>
            </w:r>
          </w:p>
        </w:tc>
        <w:tc>
          <w:tcPr>
            <w:tcW w:w="3402" w:type="dxa"/>
          </w:tcPr>
          <w:p>
            <w:pPr>
              <w:rPr>
                <w:rFonts w:hAnsi="等线" w:eastAsia="等线"/>
                <w:szCs w:val="18"/>
              </w:rPr>
            </w:pPr>
            <w:r>
              <w:rPr>
                <w:rFonts w:hint="eastAsia" w:hAnsi="等线" w:eastAsia="等线"/>
                <w:szCs w:val="18"/>
              </w:rPr>
              <w:t>网络管理系统</w:t>
            </w:r>
          </w:p>
        </w:tc>
        <w:tc>
          <w:tcPr>
            <w:tcW w:w="3261" w:type="dxa"/>
          </w:tcPr>
          <w:p>
            <w:pPr>
              <w:rPr>
                <w:rFonts w:hAnsi="等线" w:eastAsia="等线"/>
                <w:szCs w:val="18"/>
              </w:rPr>
            </w:pPr>
            <w:r>
              <w:rPr>
                <w:rFonts w:hAnsi="等线" w:eastAsia="等线"/>
                <w:szCs w:val="18"/>
              </w:rPr>
              <w:t>SmallCellManagement System</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SOAP</w:t>
            </w:r>
          </w:p>
        </w:tc>
        <w:tc>
          <w:tcPr>
            <w:tcW w:w="3402" w:type="dxa"/>
          </w:tcPr>
          <w:p>
            <w:pPr>
              <w:rPr>
                <w:rFonts w:hAnsi="等线" w:eastAsia="等线"/>
                <w:szCs w:val="18"/>
              </w:rPr>
            </w:pPr>
            <w:r>
              <w:rPr>
                <w:rFonts w:hint="eastAsia" w:hAnsi="等线" w:eastAsia="等线"/>
                <w:szCs w:val="18"/>
              </w:rPr>
              <w:t>简单对象访问协议</w:t>
            </w:r>
          </w:p>
        </w:tc>
        <w:tc>
          <w:tcPr>
            <w:tcW w:w="3261" w:type="dxa"/>
          </w:tcPr>
          <w:p>
            <w:pPr>
              <w:rPr>
                <w:rFonts w:hAnsi="等线" w:eastAsia="等线"/>
                <w:szCs w:val="18"/>
              </w:rPr>
            </w:pPr>
            <w:r>
              <w:rPr>
                <w:rFonts w:hAnsi="等线" w:eastAsia="等线"/>
              </w:rPr>
              <w:t>Simple Object Access Protocol</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int="eastAsia" w:hAnsi="等线" w:eastAsia="等线"/>
              </w:rPr>
              <w:t>SN</w:t>
            </w:r>
          </w:p>
        </w:tc>
        <w:tc>
          <w:tcPr>
            <w:tcW w:w="3402" w:type="dxa"/>
          </w:tcPr>
          <w:p>
            <w:pPr>
              <w:rPr>
                <w:rFonts w:hAnsi="等线" w:eastAsia="等线"/>
                <w:szCs w:val="18"/>
              </w:rPr>
            </w:pPr>
            <w:r>
              <w:rPr>
                <w:rFonts w:hint="eastAsia" w:hAnsi="等线" w:eastAsia="等线"/>
                <w:szCs w:val="18"/>
              </w:rPr>
              <w:t>设备序列号</w:t>
            </w:r>
          </w:p>
        </w:tc>
        <w:tc>
          <w:tcPr>
            <w:tcW w:w="3261" w:type="dxa"/>
          </w:tcPr>
          <w:p>
            <w:pPr>
              <w:rPr>
                <w:rFonts w:hAnsi="等线" w:eastAsia="等线"/>
              </w:rPr>
            </w:pPr>
            <w:r>
              <w:rPr>
                <w:rFonts w:hint="eastAsia" w:hAnsi="等线" w:eastAsia="等线"/>
                <w:szCs w:val="18"/>
              </w:rPr>
              <w:t>Serial Number</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jc w:val="center"/>
        </w:trPr>
        <w:tc>
          <w:tcPr>
            <w:tcW w:w="1701" w:type="dxa"/>
          </w:tcPr>
          <w:p>
            <w:pPr>
              <w:rPr>
                <w:rFonts w:hAnsi="等线" w:eastAsia="等线"/>
                <w:szCs w:val="18"/>
              </w:rPr>
            </w:pPr>
            <w:r>
              <w:rPr>
                <w:rFonts w:hAnsi="等线" w:eastAsia="等线"/>
                <w:szCs w:val="18"/>
              </w:rPr>
              <w:t>XML</w:t>
            </w:r>
          </w:p>
        </w:tc>
        <w:tc>
          <w:tcPr>
            <w:tcW w:w="3402" w:type="dxa"/>
          </w:tcPr>
          <w:p>
            <w:pPr>
              <w:rPr>
                <w:rFonts w:hAnsi="等线" w:eastAsia="等线"/>
                <w:szCs w:val="18"/>
              </w:rPr>
            </w:pPr>
            <w:r>
              <w:rPr>
                <w:rFonts w:hint="eastAsia" w:hAnsi="等线" w:eastAsia="等线"/>
                <w:szCs w:val="18"/>
              </w:rPr>
              <w:t>可扩展的标记语言</w:t>
            </w:r>
          </w:p>
        </w:tc>
        <w:tc>
          <w:tcPr>
            <w:tcW w:w="3261" w:type="dxa"/>
          </w:tcPr>
          <w:p>
            <w:pPr>
              <w:rPr>
                <w:rFonts w:hAnsi="等线" w:eastAsia="等线"/>
              </w:rPr>
            </w:pPr>
            <w:r>
              <w:rPr>
                <w:rFonts w:hAnsi="等线" w:eastAsia="等线"/>
              </w:rPr>
              <w:t>eXtensible Markup Language</w:t>
            </w:r>
          </w:p>
        </w:tc>
      </w:tr>
    </w:tbl>
    <w:p>
      <w:pPr>
        <w:pStyle w:val="3"/>
      </w:pPr>
    </w:p>
    <w:bookmarkEnd w:id="8"/>
    <w:p>
      <w:pPr>
        <w:pStyle w:val="2"/>
        <w:rPr>
          <w:rFonts w:ascii="黑体" w:hAnsi="黑体" w:eastAsia="黑体"/>
          <w:b w:val="0"/>
          <w:bCs w:val="0"/>
          <w:sz w:val="21"/>
          <w:szCs w:val="28"/>
        </w:rPr>
      </w:pPr>
      <w:bookmarkStart w:id="9" w:name="_Toc89684802"/>
      <w:bookmarkStart w:id="10" w:name="_Toc200510813"/>
      <w:bookmarkStart w:id="11" w:name="_Toc264464353"/>
      <w:r>
        <w:rPr>
          <w:rFonts w:hint="eastAsia" w:ascii="黑体" w:hAnsi="黑体" w:eastAsia="黑体"/>
          <w:b w:val="0"/>
          <w:bCs w:val="0"/>
          <w:sz w:val="21"/>
          <w:szCs w:val="28"/>
        </w:rPr>
        <w:t>数据模型</w:t>
      </w:r>
      <w:bookmarkEnd w:id="9"/>
    </w:p>
    <w:p>
      <w:pPr>
        <w:pStyle w:val="4"/>
        <w:rPr>
          <w:rFonts w:ascii="黑体" w:hAnsi="黑体" w:eastAsia="黑体"/>
          <w:b w:val="0"/>
          <w:bCs w:val="0"/>
          <w:sz w:val="21"/>
          <w:szCs w:val="21"/>
        </w:rPr>
      </w:pPr>
      <w:bookmarkStart w:id="12" w:name="_Toc89684803"/>
      <w:r>
        <w:rPr>
          <w:rFonts w:hint="eastAsia" w:ascii="黑体" w:hAnsi="黑体" w:eastAsia="黑体"/>
          <w:b w:val="0"/>
          <w:bCs w:val="0"/>
          <w:sz w:val="21"/>
          <w:szCs w:val="21"/>
        </w:rPr>
        <w:t>概述</w:t>
      </w:r>
      <w:bookmarkEnd w:id="12"/>
    </w:p>
    <w:p>
      <w:pPr>
        <w:pStyle w:val="3"/>
        <w:spacing w:line="360" w:lineRule="auto"/>
        <w:ind w:firstLine="420"/>
        <w:rPr>
          <w:rFonts w:ascii="宋体" w:hAnsi="宋体"/>
          <w:kern w:val="0"/>
          <w:sz w:val="21"/>
          <w:szCs w:val="21"/>
        </w:rPr>
      </w:pPr>
      <w:r>
        <w:rPr>
          <w:rFonts w:hint="eastAsia" w:ascii="宋体" w:hAnsi="宋体"/>
          <w:kern w:val="0"/>
          <w:sz w:val="21"/>
          <w:szCs w:val="21"/>
        </w:rPr>
        <w:t>南向数据模型的编制基础为TR181和TR196，为匹配5G多载波设备，在协议已经定义的基础上进行了扩展，例如：协议只定义到4G的参数节点为“LTE”，本文增加“NR”代表5G参数节点。</w:t>
      </w:r>
    </w:p>
    <w:p>
      <w:pPr>
        <w:pStyle w:val="4"/>
        <w:rPr>
          <w:rFonts w:ascii="黑体" w:hAnsi="黑体" w:eastAsia="黑体"/>
          <w:b w:val="0"/>
          <w:bCs w:val="0"/>
          <w:sz w:val="21"/>
          <w:szCs w:val="21"/>
        </w:rPr>
      </w:pPr>
      <w:bookmarkStart w:id="13" w:name="_Toc89684804"/>
      <w:r>
        <w:rPr>
          <w:rFonts w:hint="eastAsia" w:ascii="黑体" w:hAnsi="黑体" w:eastAsia="黑体"/>
          <w:b w:val="0"/>
          <w:bCs w:val="0"/>
          <w:sz w:val="21"/>
          <w:szCs w:val="21"/>
        </w:rPr>
        <w:t>结构</w:t>
      </w:r>
      <w:bookmarkEnd w:id="13"/>
    </w:p>
    <w:p>
      <w:pPr>
        <w:pStyle w:val="3"/>
        <w:spacing w:line="360" w:lineRule="auto"/>
        <w:ind w:firstLine="420"/>
        <w:rPr>
          <w:rFonts w:ascii="宋体" w:hAnsi="宋体"/>
          <w:kern w:val="0"/>
          <w:sz w:val="21"/>
          <w:szCs w:val="21"/>
        </w:rPr>
      </w:pPr>
      <w:r>
        <w:rPr>
          <w:rFonts w:hint="eastAsia" w:ascii="宋体" w:hAnsi="宋体"/>
          <w:kern w:val="0"/>
          <w:sz w:val="21"/>
          <w:szCs w:val="21"/>
        </w:rPr>
        <w:t>南向数据模型的整体架构分为了管理面数据模型M和业务面数据模型S（下文简述为M和S）。M基于TR181包括了设备信息，软件管理，告警管理，日志管理，时间管理，GPS管理，网管服务器配置，回传口配置，性能文件配置，MR文件配置等内容。S基于TR196定义了基站业务的配置参数，包含载波相关参数，核心网参数，链路参数，信道参数，邻区参数，移动性参数等内容。</w:t>
      </w:r>
    </w:p>
    <w:p>
      <w:pPr>
        <w:jc w:val="center"/>
      </w:pPr>
      <w:bookmarkStart w:id="14" w:name="_Toc9349"/>
      <w:r>
        <w:object>
          <v:shape id="_x0000_i1025" o:spt="75" type="#_x0000_t75" style="height:414.45pt;width:359.35pt;" o:ole="t" filled="f" o:preferrelative="t" stroked="f" coordsize="21600,21600">
            <v:path/>
            <v:fill on="f" focussize="0,0"/>
            <v:stroke on="f" joinstyle="miter"/>
            <v:imagedata r:id="rId10" o:title=""/>
            <o:lock v:ext="edit" aspectratio="f"/>
            <w10:wrap type="none"/>
            <w10:anchorlock/>
          </v:shape>
          <o:OLEObject Type="Embed" ProgID="Visio.Drawing.15" ShapeID="_x0000_i1025" DrawAspect="Content" ObjectID="_1468075725" r:id="rId9">
            <o:LockedField>false</o:LockedField>
          </o:OLEObject>
        </w:object>
      </w:r>
      <w:bookmarkEnd w:id="14"/>
    </w:p>
    <w:p>
      <w:pPr>
        <w:jc w:val="center"/>
      </w:pPr>
      <w:r>
        <w:rPr>
          <w:rFonts w:hint="eastAsia"/>
        </w:rPr>
        <w:t>图</w:t>
      </w:r>
      <w:r>
        <w:t>1</w:t>
      </w:r>
      <w:r>
        <w:rPr>
          <w:rFonts w:hint="eastAsia"/>
        </w:rPr>
        <w:t>：数据模型结构</w:t>
      </w:r>
    </w:p>
    <w:p>
      <w:pPr>
        <w:pStyle w:val="4"/>
        <w:rPr>
          <w:rFonts w:ascii="黑体" w:hAnsi="黑体" w:eastAsia="黑体"/>
          <w:b w:val="0"/>
          <w:bCs w:val="0"/>
          <w:sz w:val="21"/>
          <w:szCs w:val="21"/>
        </w:rPr>
      </w:pPr>
      <w:bookmarkStart w:id="15" w:name="_Toc89684805"/>
      <w:r>
        <w:rPr>
          <w:rFonts w:hint="eastAsia" w:ascii="黑体" w:hAnsi="黑体" w:eastAsia="黑体"/>
          <w:b w:val="0"/>
          <w:bCs w:val="0"/>
          <w:sz w:val="21"/>
          <w:szCs w:val="21"/>
        </w:rPr>
        <w:t>分类</w:t>
      </w:r>
      <w:bookmarkEnd w:id="15"/>
    </w:p>
    <w:p>
      <w:pPr>
        <w:jc w:val="center"/>
      </w:pPr>
      <w:r>
        <w:rPr>
          <w:rFonts w:hint="eastAsia"/>
        </w:rPr>
        <w:t>表</w:t>
      </w:r>
      <w:r>
        <w:t>1</w:t>
      </w:r>
      <w:r>
        <w:rPr>
          <w:rFonts w:hint="eastAsia"/>
        </w:rPr>
        <w:t>：参数分表</w:t>
      </w:r>
    </w:p>
    <w:tbl>
      <w:tblPr>
        <w:tblStyle w:val="22"/>
        <w:tblW w:w="8752" w:type="dxa"/>
        <w:tblInd w:w="0" w:type="dxa"/>
        <w:tblLayout w:type="autofit"/>
        <w:tblCellMar>
          <w:top w:w="0" w:type="dxa"/>
          <w:left w:w="108" w:type="dxa"/>
          <w:bottom w:w="0" w:type="dxa"/>
          <w:right w:w="108" w:type="dxa"/>
        </w:tblCellMar>
      </w:tblPr>
      <w:tblGrid>
        <w:gridCol w:w="988"/>
        <w:gridCol w:w="5436"/>
        <w:gridCol w:w="2556"/>
      </w:tblGrid>
      <w:tr>
        <w:tblPrEx>
          <w:tblCellMar>
            <w:top w:w="0" w:type="dxa"/>
            <w:left w:w="108" w:type="dxa"/>
            <w:bottom w:w="0" w:type="dxa"/>
            <w:right w:w="108" w:type="dxa"/>
          </w:tblCellMar>
        </w:tblPrEx>
        <w:trPr>
          <w:trHeight w:val="480" w:hRule="atLeast"/>
        </w:trPr>
        <w:tc>
          <w:tcPr>
            <w:tcW w:w="988"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color w:val="000000"/>
                <w:kern w:val="0"/>
                <w:sz w:val="21"/>
                <w:szCs w:val="21"/>
              </w:rPr>
            </w:pPr>
            <w:r>
              <w:rPr>
                <w:rFonts w:hint="eastAsia" w:ascii="宋体" w:hAnsi="宋体" w:cs="宋体"/>
                <w:b/>
                <w:bCs/>
                <w:color w:val="000000"/>
                <w:kern w:val="0"/>
                <w:sz w:val="18"/>
                <w:szCs w:val="18"/>
              </w:rPr>
              <w:t>索引</w:t>
            </w:r>
          </w:p>
        </w:tc>
        <w:tc>
          <w:tcPr>
            <w:tcW w:w="5208"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color w:val="000000"/>
                <w:kern w:val="0"/>
                <w:sz w:val="21"/>
                <w:szCs w:val="21"/>
              </w:rPr>
            </w:pPr>
            <w:r>
              <w:rPr>
                <w:rFonts w:hint="eastAsia" w:ascii="宋体" w:hAnsi="宋体" w:cs="宋体"/>
                <w:b/>
                <w:bCs/>
                <w:color w:val="000000"/>
                <w:kern w:val="0"/>
                <w:sz w:val="21"/>
                <w:szCs w:val="21"/>
              </w:rPr>
              <w:t>参数管理类别</w:t>
            </w:r>
          </w:p>
        </w:tc>
        <w:tc>
          <w:tcPr>
            <w:tcW w:w="2556"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color w:val="000000"/>
                <w:kern w:val="0"/>
                <w:sz w:val="21"/>
                <w:szCs w:val="21"/>
              </w:rPr>
            </w:pPr>
            <w:r>
              <w:rPr>
                <w:rFonts w:hint="eastAsia" w:ascii="宋体" w:hAnsi="宋体" w:cs="宋体"/>
                <w:b/>
                <w:bCs/>
                <w:color w:val="000000"/>
                <w:kern w:val="0"/>
                <w:sz w:val="21"/>
                <w:szCs w:val="21"/>
              </w:rPr>
              <w:t>参数管理说明</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hint="eastAsia" w:ascii="宋体" w:hAnsi="宋体" w:cs="宋体"/>
                <w:kern w:val="0"/>
                <w:sz w:val="21"/>
                <w:szCs w:val="21"/>
              </w:rPr>
              <w:t>表2</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DeviceInfo</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设备信息参数管理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2</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SoftwareCtrl</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软件版本参数管理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3</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ManagementServer</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基站网管参数管理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4</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FaultMgmt</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告警参数管理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5</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DeviceLogMgmt</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日志参数管理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6</w:t>
            </w:r>
          </w:p>
        </w:tc>
        <w:tc>
          <w:tcPr>
            <w:tcW w:w="520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Services.FAPService.{i}.FAPControl.NR</w:t>
            </w:r>
          </w:p>
        </w:tc>
        <w:tc>
          <w:tcPr>
            <w:tcW w:w="255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基站配置参数管理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7</w:t>
            </w:r>
          </w:p>
        </w:tc>
        <w:tc>
          <w:tcPr>
            <w:tcW w:w="520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Services.FAPService.{i}.Capabilities.NR</w:t>
            </w:r>
          </w:p>
        </w:tc>
        <w:tc>
          <w:tcPr>
            <w:tcW w:w="255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基站能力参数管理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tcPr>
          <w:p>
            <w:pPr>
              <w:widowControl/>
              <w:jc w:val="center"/>
              <w:rPr>
                <w:rFonts w:ascii="宋体" w:hAnsi="宋体" w:cs="宋体"/>
                <w:kern w:val="0"/>
                <w:sz w:val="21"/>
                <w:szCs w:val="21"/>
              </w:rPr>
            </w:pPr>
            <w:r>
              <w:rPr>
                <w:rFonts w:ascii="宋体" w:hAnsi="宋体" w:cs="宋体"/>
                <w:kern w:val="0"/>
                <w:sz w:val="21"/>
                <w:szCs w:val="21"/>
              </w:rPr>
              <w:t>8</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Services.FAPService.{i}.CellConfig.{i}.NR</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小区服务参数管理（总体）</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9</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Services.FAPService.{i}.CellConfig.{i}.NR.RAN</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bookmarkStart w:id="16" w:name="_Hlk87622079"/>
            <w:r>
              <w:rPr>
                <w:rFonts w:hint="eastAsia" w:ascii="宋体" w:hAnsi="宋体" w:cs="宋体"/>
                <w:kern w:val="0"/>
                <w:sz w:val="18"/>
                <w:szCs w:val="18"/>
              </w:rPr>
              <w:t>RAN协议栈参数</w:t>
            </w:r>
            <w:bookmarkEnd w:id="16"/>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10</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Services.FAPService.{i}.CellConfig.{i}.NR.RAN.NeighborList</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邻区参数管理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11</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Services.FAPService.{i}.CellConfig.{i}.NR.RAN.Mobility</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移动性参数管理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tcPr>
          <w:p>
            <w:pPr>
              <w:widowControl/>
              <w:jc w:val="center"/>
              <w:rPr>
                <w:rFonts w:ascii="宋体" w:hAnsi="宋体" w:cs="宋体"/>
                <w:kern w:val="0"/>
                <w:sz w:val="21"/>
                <w:szCs w:val="21"/>
              </w:rPr>
            </w:pPr>
            <w:r>
              <w:rPr>
                <w:rFonts w:ascii="宋体" w:hAnsi="宋体" w:cs="宋体"/>
                <w:kern w:val="0"/>
                <w:sz w:val="21"/>
                <w:szCs w:val="21"/>
              </w:rPr>
              <w:t>12</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Services.FAPService.{i}.Transport.SCTP</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SCTP参数管理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13</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WANDevice</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WAN口配置参数管理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tcPr>
          <w:p>
            <w:pPr>
              <w:widowControl/>
              <w:jc w:val="center"/>
              <w:rPr>
                <w:rFonts w:ascii="宋体" w:hAnsi="宋体" w:cs="宋体"/>
                <w:kern w:val="0"/>
                <w:sz w:val="21"/>
                <w:szCs w:val="21"/>
              </w:rPr>
            </w:pPr>
            <w:r>
              <w:rPr>
                <w:rFonts w:ascii="宋体" w:hAnsi="宋体" w:cs="宋体"/>
                <w:kern w:val="0"/>
                <w:sz w:val="21"/>
                <w:szCs w:val="21"/>
              </w:rPr>
              <w:t>14</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Time</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时间服务器参数管理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tcPr>
          <w:p>
            <w:pPr>
              <w:widowControl/>
              <w:jc w:val="center"/>
              <w:rPr>
                <w:rFonts w:ascii="宋体" w:hAnsi="宋体" w:cs="宋体"/>
                <w:kern w:val="0"/>
                <w:sz w:val="21"/>
                <w:szCs w:val="21"/>
              </w:rPr>
            </w:pPr>
            <w:r>
              <w:rPr>
                <w:rFonts w:ascii="宋体" w:hAnsi="宋体" w:cs="宋体"/>
                <w:kern w:val="0"/>
                <w:sz w:val="21"/>
                <w:szCs w:val="21"/>
              </w:rPr>
              <w:t>15</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FAP.GPS</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GPS信息参数管理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1"/>
                <w:szCs w:val="21"/>
              </w:rPr>
            </w:pPr>
            <w:r>
              <w:rPr>
                <w:rFonts w:ascii="宋体" w:hAnsi="宋体" w:cs="宋体"/>
                <w:kern w:val="0"/>
                <w:sz w:val="21"/>
                <w:szCs w:val="21"/>
              </w:rPr>
              <w:t>16</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FAP.MRMgmt</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MR参数管理</w:t>
            </w:r>
          </w:p>
        </w:tc>
      </w:tr>
      <w:tr>
        <w:tblPrEx>
          <w:tblCellMar>
            <w:top w:w="0" w:type="dxa"/>
            <w:left w:w="108" w:type="dxa"/>
            <w:bottom w:w="0" w:type="dxa"/>
            <w:right w:w="108" w:type="dxa"/>
          </w:tblCellMar>
        </w:tblPrEx>
        <w:trPr>
          <w:trHeight w:val="270" w:hRule="atLeast"/>
        </w:trPr>
        <w:tc>
          <w:tcPr>
            <w:tcW w:w="988" w:type="dxa"/>
            <w:tcBorders>
              <w:top w:val="nil"/>
              <w:left w:val="single" w:color="auto" w:sz="4" w:space="0"/>
              <w:bottom w:val="single" w:color="auto" w:sz="4" w:space="0"/>
              <w:right w:val="single" w:color="auto" w:sz="4" w:space="0"/>
            </w:tcBorders>
            <w:shd w:val="clear" w:color="auto" w:fill="auto"/>
          </w:tcPr>
          <w:p>
            <w:pPr>
              <w:widowControl/>
              <w:jc w:val="center"/>
              <w:rPr>
                <w:rFonts w:ascii="宋体" w:hAnsi="宋体" w:cs="宋体"/>
                <w:kern w:val="0"/>
                <w:sz w:val="21"/>
                <w:szCs w:val="21"/>
              </w:rPr>
            </w:pPr>
            <w:r>
              <w:rPr>
                <w:rFonts w:ascii="宋体" w:hAnsi="宋体" w:cs="宋体"/>
                <w:kern w:val="0"/>
                <w:sz w:val="21"/>
                <w:szCs w:val="21"/>
              </w:rPr>
              <w:t>17</w:t>
            </w:r>
          </w:p>
        </w:tc>
        <w:tc>
          <w:tcPr>
            <w:tcW w:w="5208" w:type="dxa"/>
            <w:tcBorders>
              <w:top w:val="nil"/>
              <w:left w:val="nil"/>
              <w:bottom w:val="single" w:color="auto" w:sz="4" w:space="0"/>
              <w:right w:val="single" w:color="auto" w:sz="4" w:space="0"/>
            </w:tcBorders>
            <w:shd w:val="clear" w:color="auto" w:fill="auto"/>
          </w:tcPr>
          <w:p>
            <w:pPr>
              <w:widowControl/>
              <w:jc w:val="left"/>
              <w:rPr>
                <w:rFonts w:ascii="宋体" w:hAnsi="宋体" w:cs="宋体"/>
                <w:kern w:val="0"/>
                <w:sz w:val="18"/>
                <w:szCs w:val="18"/>
              </w:rPr>
            </w:pPr>
            <w:r>
              <w:rPr>
                <w:rFonts w:hint="eastAsia" w:ascii="宋体" w:hAnsi="宋体" w:cs="宋体"/>
                <w:kern w:val="0"/>
                <w:sz w:val="18"/>
                <w:szCs w:val="18"/>
              </w:rPr>
              <w:t>FAP.PerfMgmt</w:t>
            </w:r>
          </w:p>
        </w:tc>
        <w:tc>
          <w:tcPr>
            <w:tcW w:w="2556" w:type="dxa"/>
            <w:tcBorders>
              <w:top w:val="nil"/>
              <w:left w:val="nil"/>
              <w:bottom w:val="single" w:color="auto" w:sz="4" w:space="0"/>
              <w:right w:val="single" w:color="auto" w:sz="4" w:space="0"/>
            </w:tcBorders>
            <w:shd w:val="clear" w:color="auto" w:fill="auto"/>
            <w:noWrap/>
          </w:tcPr>
          <w:p>
            <w:pPr>
              <w:widowControl/>
              <w:jc w:val="left"/>
              <w:rPr>
                <w:rFonts w:ascii="宋体" w:hAnsi="宋体" w:cs="宋体"/>
                <w:kern w:val="0"/>
                <w:sz w:val="18"/>
                <w:szCs w:val="18"/>
              </w:rPr>
            </w:pPr>
            <w:r>
              <w:rPr>
                <w:rFonts w:hint="eastAsia" w:ascii="宋体" w:hAnsi="宋体" w:cs="宋体"/>
                <w:kern w:val="0"/>
                <w:sz w:val="18"/>
                <w:szCs w:val="18"/>
              </w:rPr>
              <w:t>性能参数管理</w:t>
            </w:r>
          </w:p>
        </w:tc>
      </w:tr>
    </w:tbl>
    <w:p>
      <w:pPr>
        <w:pStyle w:val="3"/>
        <w:spacing w:line="360" w:lineRule="auto"/>
        <w:ind w:firstLine="0" w:firstLineChars="0"/>
        <w:rPr>
          <w:rFonts w:ascii="黑体" w:hAnsi="黑体" w:eastAsia="黑体"/>
          <w:sz w:val="21"/>
          <w:szCs w:val="21"/>
        </w:rPr>
        <w:sectPr>
          <w:headerReference r:id="rId7" w:type="default"/>
          <w:pgSz w:w="11906" w:h="16838"/>
          <w:pgMar w:top="1440" w:right="1797" w:bottom="1440" w:left="1797" w:header="851" w:footer="992" w:gutter="0"/>
          <w:pgNumType w:start="1"/>
          <w:cols w:space="425" w:num="1"/>
          <w:docGrid w:linePitch="312" w:charSpace="0"/>
        </w:sectPr>
      </w:pPr>
      <w:r>
        <w:rPr>
          <w:rFonts w:ascii="黑体" w:hAnsi="黑体" w:eastAsia="黑体"/>
          <w:sz w:val="21"/>
          <w:szCs w:val="21"/>
        </w:rPr>
        <w:br w:type="page"/>
      </w:r>
    </w:p>
    <w:p>
      <w:pPr>
        <w:pStyle w:val="4"/>
        <w:rPr>
          <w:rFonts w:ascii="黑体" w:hAnsi="黑体" w:eastAsia="黑体"/>
          <w:b w:val="0"/>
          <w:bCs w:val="0"/>
          <w:sz w:val="21"/>
          <w:szCs w:val="21"/>
        </w:rPr>
      </w:pPr>
      <w:bookmarkStart w:id="17" w:name="_Toc89684806"/>
      <w:r>
        <w:rPr>
          <w:rFonts w:hint="eastAsia" w:ascii="黑体" w:hAnsi="黑体" w:eastAsia="黑体"/>
          <w:b w:val="0"/>
          <w:bCs w:val="0"/>
          <w:sz w:val="21"/>
          <w:szCs w:val="21"/>
        </w:rPr>
        <w:t>设备信息参数管理</w:t>
      </w:r>
      <w:bookmarkEnd w:id="17"/>
    </w:p>
    <w:p>
      <w:pPr>
        <w:jc w:val="center"/>
      </w:pPr>
      <w:r>
        <w:rPr>
          <w:rFonts w:hint="eastAsia"/>
        </w:rPr>
        <w:t>表2：设备信息参数表</w:t>
      </w:r>
    </w:p>
    <w:tbl>
      <w:tblPr>
        <w:tblStyle w:val="22"/>
        <w:tblW w:w="14747" w:type="dxa"/>
        <w:tblInd w:w="103" w:type="dxa"/>
        <w:tblLayout w:type="fixed"/>
        <w:tblCellMar>
          <w:top w:w="0" w:type="dxa"/>
          <w:left w:w="108" w:type="dxa"/>
          <w:bottom w:w="0" w:type="dxa"/>
          <w:right w:w="108" w:type="dxa"/>
        </w:tblCellMar>
      </w:tblPr>
      <w:tblGrid>
        <w:gridCol w:w="920"/>
        <w:gridCol w:w="5464"/>
        <w:gridCol w:w="1418"/>
        <w:gridCol w:w="992"/>
        <w:gridCol w:w="397"/>
        <w:gridCol w:w="397"/>
        <w:gridCol w:w="1474"/>
        <w:gridCol w:w="2616"/>
        <w:gridCol w:w="1069"/>
      </w:tblGrid>
      <w:tr>
        <w:tblPrEx>
          <w:tblCellMar>
            <w:top w:w="0" w:type="dxa"/>
            <w:left w:w="108" w:type="dxa"/>
            <w:bottom w:w="0" w:type="dxa"/>
            <w:right w:w="108" w:type="dxa"/>
          </w:tblCellMar>
        </w:tblPrEx>
        <w:trPr>
          <w:trHeight w:val="259" w:hRule="atLeast"/>
        </w:trPr>
        <w:tc>
          <w:tcPr>
            <w:tcW w:w="920"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46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418"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992"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39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39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47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261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c>
          <w:tcPr>
            <w:tcW w:w="106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备注</w:t>
            </w:r>
          </w:p>
        </w:tc>
      </w:tr>
      <w:tr>
        <w:tblPrEx>
          <w:tblCellMar>
            <w:top w:w="0" w:type="dxa"/>
            <w:left w:w="108" w:type="dxa"/>
            <w:bottom w:w="0" w:type="dxa"/>
            <w:right w:w="108" w:type="dxa"/>
          </w:tblCellMar>
        </w:tblPrEx>
        <w:trPr>
          <w:trHeight w:val="259" w:hRule="atLeast"/>
        </w:trPr>
        <w:tc>
          <w:tcPr>
            <w:tcW w:w="920"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主机单元（MU）设备信息参数管理</w:t>
            </w: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Device.DeviceInfo.MU.{i}.ManufacturerOUI</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ManufacturerOUI</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制造商OUI</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Device.DeviceInfo.MU.{i}.Manufacturer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Device.DeviceInfo.MU.{i}.ModelName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ModelName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设备型号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Device.DeviceInfo.MU.{i}.SerialNumber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序列号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Device.DeviceInfo.MU.{i}.HardwareVersion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HardwareVersion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硬件版本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Device.DeviceInfo.MU.{i}.FirmwareVersion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FirmwareVersion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固件版本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Device.DeviceInfo.MU.{i}.SoftwareVersion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SoftwareVersion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软件版本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Device.DeviceInfo.MU.{i}.HardwarePlatform</w:t>
            </w:r>
          </w:p>
        </w:tc>
        <w:tc>
          <w:tcPr>
            <w:tcW w:w="1418"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HardwarePlatform</w:t>
            </w:r>
          </w:p>
        </w:tc>
        <w:tc>
          <w:tcPr>
            <w:tcW w:w="992"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硬件平台</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Device.DeviceInfo.MU.{i}.AdditionalHardwareVersion</w:t>
            </w:r>
          </w:p>
        </w:tc>
        <w:tc>
          <w:tcPr>
            <w:tcW w:w="1418"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AdditionalHardwareVersion</w:t>
            </w:r>
          </w:p>
        </w:tc>
        <w:tc>
          <w:tcPr>
            <w:tcW w:w="992"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附加硬件版本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Device.DeviceInfo.MU.{i}.AdditionalSoftwareVersion</w:t>
            </w:r>
          </w:p>
        </w:tc>
        <w:tc>
          <w:tcPr>
            <w:tcW w:w="1418"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AdditionalSoftwareVersion</w:t>
            </w:r>
          </w:p>
        </w:tc>
        <w:tc>
          <w:tcPr>
            <w:tcW w:w="992"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附加软件版本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Device.DeviceInfo.MU.{i}.ProvisioningCode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ProvisioningCode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供应商代号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Device.DeviceInfo.MU.{i}.ProductClass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ProductClass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产品分类</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机框/服务器状态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1:正常</w:t>
            </w:r>
            <w:r>
              <w:rPr>
                <w:rFonts w:hint="eastAsia" w:ascii="宋体" w:hAnsi="宋体" w:cs="宋体"/>
                <w:kern w:val="0"/>
                <w:sz w:val="20"/>
                <w:szCs w:val="20"/>
              </w:rPr>
              <w:br w:type="textWrapping"/>
            </w:r>
            <w:r>
              <w:rPr>
                <w:rFonts w:hint="eastAsia" w:ascii="宋体" w:hAnsi="宋体" w:cs="宋体"/>
                <w:kern w:val="0"/>
                <w:sz w:val="20"/>
                <w:szCs w:val="20"/>
              </w:rPr>
              <w:t>2:离线</w:t>
            </w:r>
            <w:r>
              <w:rPr>
                <w:rFonts w:hint="eastAsia" w:ascii="宋体" w:hAnsi="宋体" w:cs="宋体"/>
                <w:kern w:val="0"/>
                <w:sz w:val="20"/>
                <w:szCs w:val="20"/>
              </w:rPr>
              <w:br w:type="textWrapping"/>
            </w:r>
            <w:r>
              <w:rPr>
                <w:rFonts w:hint="eastAsia" w:ascii="宋体" w:hAnsi="宋体" w:cs="宋体"/>
                <w:kern w:val="0"/>
                <w:sz w:val="20"/>
                <w:szCs w:val="20"/>
              </w:rPr>
              <w:t>3:告警</w:t>
            </w:r>
          </w:p>
        </w:tc>
        <w:tc>
          <w:tcPr>
            <w:tcW w:w="1069" w:type="dxa"/>
            <w:tcBorders>
              <w:top w:val="nil"/>
              <w:left w:val="nil"/>
              <w:bottom w:val="nil"/>
              <w:right w:val="nil"/>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Device.DeviceInfo.MU.{i}.Reboot</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Reboot</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重启开关</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0:不重启</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1:重启</w:t>
            </w:r>
          </w:p>
        </w:tc>
        <w:tc>
          <w:tcPr>
            <w:tcW w:w="1069"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Device.DeviceInfo.MU.{i}.UpTime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UpTime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运行时间</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unsignedInt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Device.DeviceInfo.MU.{i}.FirstUseDate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FirstUseDate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首次使用日期</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Device.DeviceInfo.MU.{i}.SwUpgrade.Stage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Stage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升级阶段</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unsignedInt[1:5]</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1:初始化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2:下载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3:安装</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4:等待激活</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5.激活</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Device.DeviceInfo.MU.{i}.SwUpgrade.Status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1:成功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3:失败</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Device.DeviceInfo.MU.{i}.SwUpgrade.FailureCause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FailureCause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升级失败原因描述</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Device.DeviceInfo.MU.{i}.Slot.{i}.PackPosition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PackPosition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板卡位置</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板卡在机框内的相对位置，通常用编号表示。数据格式定义为“机柜-机框-槽号”</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Device.DeviceInfo.MU.{i}.Slot.{i}.SlotsOccupied</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SlotsOccupied</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占用槽位</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应表示板卡占用的槽位号列表。（注：一些板卡较宽，可能会占用两个或以上槽位）</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Device.DeviceInfo.MU.{i}.Slot.{i}.ManufacturerOUI</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ManufacturerOUI</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制造商OUI</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Device.DeviceInfo.MU.{i}.Slot.{i}.Manufacturer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Device.DeviceInfo.MU.{i}.Slot.{i}.ModelName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ModelName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设备型号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Device.DeviceInfo.MU.{i}.Slot.{i}.SerialNumber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序列号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Device.DeviceInfo.MU.{i}.Slot.{i}.HardwareVersion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HardwareVersion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硬件版本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Device.DeviceInfo.MU.{i}.Slot.{i}.SoftwareVersion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SoftwareVersion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软件版本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Device.DeviceInfo.MU.{i}.Slot.{i}.ProvisioningCode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ProvisioningCode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供应商代号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Device.DeviceInfo.MU.{i}.Slot.{i}.VendorUnitFamilyType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VendorUnitFamilyType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板卡类型</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描述板卡功能类型。List of Enum{ 板卡类型（枚举）}。其中板卡类型的为Enumerate{MainControl，Carrier，Trans，Other}，分别表示主控板、载频板、传输板、其他板卡类型。对跨类型的板卡，列表中应包括该板卡的全部功能类型。（必须上报）</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Device.DeviceInfo.MU.{i}.Slot.{i}.UpTime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UpTime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运行时间</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unsignedInt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Device.DeviceInfo.MU.{i}.Slot.{i}.DataModelSpecVersion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DataModelSpecVersion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数据模型版本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取值格式为："CUCC"+规范版本号，例如：版本号为：v</w:t>
            </w:r>
            <w:r>
              <w:rPr>
                <w:rFonts w:ascii="宋体" w:hAnsi="宋体" w:cs="宋体"/>
                <w:kern w:val="0"/>
                <w:sz w:val="18"/>
                <w:szCs w:val="18"/>
              </w:rPr>
              <w:t>2.</w:t>
            </w:r>
            <w:r>
              <w:rPr>
                <w:rFonts w:hint="eastAsia" w:ascii="宋体" w:hAnsi="宋体" w:cs="宋体"/>
                <w:kern w:val="0"/>
                <w:sz w:val="18"/>
                <w:szCs w:val="18"/>
              </w:rPr>
              <w:t>1，则本字段取值：CUCCv</w:t>
            </w:r>
            <w:r>
              <w:rPr>
                <w:rFonts w:ascii="宋体" w:hAnsi="宋体" w:cs="宋体"/>
                <w:kern w:val="0"/>
                <w:sz w:val="18"/>
                <w:szCs w:val="18"/>
              </w:rPr>
              <w:t>2.</w:t>
            </w:r>
            <w:r>
              <w:rPr>
                <w:rFonts w:hint="eastAsia" w:ascii="宋体" w:hAnsi="宋体" w:cs="宋体"/>
                <w:kern w:val="0"/>
                <w:sz w:val="18"/>
                <w:szCs w:val="18"/>
              </w:rPr>
              <w:t>1</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720"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Device.DeviceInfo.MU.{i}.Slot.{i}.VendorDataModelSpecVersion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DataModelSpecVersion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设备商数据模型版本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描述基于中国联通技术规范发布的小基站南向数据模型版本基础上的设备商数据模型版本号</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Device.DeviceInfo.MU.{i}.Slot.{i}.3GPPSpecVersion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3GPPSpecVersion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3GPP协议版本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Device.DeviceInfo.MU.{i}.Slot.{i}.FirstUseDate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FirstUseDate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首次使用日期</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板卡状态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1:正常</w:t>
            </w:r>
            <w:r>
              <w:rPr>
                <w:rFonts w:hint="eastAsia" w:ascii="宋体" w:hAnsi="宋体" w:cs="宋体"/>
                <w:kern w:val="0"/>
                <w:sz w:val="20"/>
                <w:szCs w:val="20"/>
              </w:rPr>
              <w:br w:type="textWrapping"/>
            </w:r>
            <w:r>
              <w:rPr>
                <w:rFonts w:hint="eastAsia" w:ascii="宋体" w:hAnsi="宋体" w:cs="宋体"/>
                <w:kern w:val="0"/>
                <w:sz w:val="20"/>
                <w:szCs w:val="20"/>
              </w:rPr>
              <w:t>2:离线</w:t>
            </w:r>
            <w:r>
              <w:rPr>
                <w:rFonts w:hint="eastAsia" w:ascii="宋体" w:hAnsi="宋体" w:cs="宋体"/>
                <w:kern w:val="0"/>
                <w:sz w:val="20"/>
                <w:szCs w:val="20"/>
              </w:rPr>
              <w:br w:type="textWrapping"/>
            </w:r>
            <w:r>
              <w:rPr>
                <w:rFonts w:hint="eastAsia" w:ascii="宋体" w:hAnsi="宋体" w:cs="宋体"/>
                <w:kern w:val="0"/>
                <w:sz w:val="20"/>
                <w:szCs w:val="20"/>
              </w:rPr>
              <w:t>3:告警</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Device.DeviceInfo.MU.{i}.Slot.{i}.Reboot</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Reboot</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重启开关</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boolean</w:t>
            </w:r>
          </w:p>
        </w:tc>
        <w:tc>
          <w:tcPr>
            <w:tcW w:w="26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0:不重启</w:t>
            </w:r>
          </w:p>
        </w:tc>
        <w:tc>
          <w:tcPr>
            <w:tcW w:w="1069" w:type="dxa"/>
            <w:tcBorders>
              <w:top w:val="nil"/>
              <w:left w:val="nil"/>
              <w:bottom w:val="nil"/>
              <w:right w:val="nil"/>
            </w:tcBorders>
            <w:shd w:val="clear" w:color="auto" w:fill="auto"/>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Device.DeviceInfo.MU.{i}.Slot.{i}.SwUpgrade.Stage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Stage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升级阶段</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unsignedInt[1:5]</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1:初始化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2:下载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3:安装</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4:等待激活</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5.激活</w:t>
            </w:r>
          </w:p>
        </w:tc>
        <w:tc>
          <w:tcPr>
            <w:tcW w:w="1069"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Device.DeviceInfo.MU.{i}.Slot.{i}.SwUpgrade.Status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1:成功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3:失败</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Device.DeviceInfo.MU.{i}.Slot.{i}.SwUpgrade.FailureCause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FailureCause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升级失败原因描述</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扩展型微站-扩展单元（EU）参数管理</w:t>
            </w: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Device.DeviceInfo.MU.{i}.Slot.{i}.EU.{i}.RouteIndex</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RouteIndex</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扩展单元路由指示</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1.扩展型微站主机单元与各扩展单元和远端单元可采用树状组网方式（包含菊花链、星形等）：主机单元为根节点，扩展单元为树枝节点，远端单元为叶节点；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本参数指示从扩展型主机单元某一板卡的某一端口或非板卡形态的主机单元的某一端口到扩展单元EU.{i}的路由路径，并与每个扩展单元的唯一标识对应，通过本参数和EU.{i}.RU.{i}可呈现整个组网拓扑结构及各单元所处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RouteIndex取值规则从左至右根据从主机单元当，某一板卡的某一端口(板卡与端口间以“.”分割。非板卡结构MU直接使用端口号)到扩展单元EU.{i}的路由使用的各级设备端口号逐级取值，每级之间以下划线“_”分割，直至到达本节点EU.{i}。例如：“EU.{i}.RouteIndex = 3.2_1_5_4”代表该路由起始于主机单元（第零级）占用第3槽位的板卡的端口2，经过第一级扩展单元端口1，第二级扩展单元端口5，第三级扩展单元端口4路由到本扩展单元EU.{i}；非板卡类型主机单元，路由表示为2_1_5_4，2表示该路由起始于主机单元（第零级）的端口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4.通过RouteIndex取值中数值个数还能体现本扩展单元EU.{i}所处级数，例如“EU.{i}.RouteIndex = 3.2_1_5_4”说明该扩展单元EU.{i}位于第四级（主机单元为第零级）。 </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MU、EU和RU的端口从1开始</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Device.DeviceInfo.MU.{i}.Slot.{i}.EU.{i}.ManufacturerOUI</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ManufacturerOUI</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制造商OUI</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Device.DeviceInfo.MU.{i}.Slot.{i}.EU.{i}.Manufacturer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Device.DeviceInfo.MU.{i}.Slot.{i}.EU.{i}.ModelName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ModelName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设备型号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Device.DeviceInfo.MU.{i}.Slot.{i}.EU.{i}.SerialNumber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SerialNumber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序列号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Device.DeviceInfo.MU.{i}.Slot.{i}.EU.{i}.HardwareVersion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HardwareVersion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硬件版本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Device.DeviceInfo.MU.{i}.Slot.{i}.EU.{i}.SoftwareVersion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SoftwareVersion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软件版本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Device.DeviceInfo.MU.{i}.Slot.{i}.EU.{i}.ProvisioningCode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ProvisioningCode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供应商代号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1:正常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2:离线</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3:告警</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Device.DeviceInfo.MU.{i}.Slot.{i}.EU.{i}.DLCRCSum</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DLCRCSum</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扩展单元下行误码率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若上一级是主机单元，则是扩展单元与主机单元下行误码率；</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若上一级是扩展单元，则是扩展单元与扩展单元下行误码率；</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下行误码率都由本级扩展单元统计。</w:t>
            </w:r>
          </w:p>
        </w:tc>
        <w:tc>
          <w:tcPr>
            <w:tcW w:w="1069"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Device.DeviceInfo.MU.{i}.Slot.{i}.EU.{i}.ULCRCSum</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ULCRCSum</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扩展单元上行误码率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若上一级是主机单元，则是扩展单元与主机单元上行误码率，由主机单元统计；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若上一级是扩展单元，则是扩展单元与扩展单元上行误码率，由上一级扩展单元统计。</w:t>
            </w:r>
          </w:p>
        </w:tc>
        <w:tc>
          <w:tcPr>
            <w:tcW w:w="1069"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Device.DeviceInfo.MU.{i}.Slot.{i}.EU.{i}.Reboot</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Reboot</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重启开关</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0:不重启</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1:重启</w:t>
            </w:r>
          </w:p>
        </w:tc>
        <w:tc>
          <w:tcPr>
            <w:tcW w:w="1069"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1350"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Device.DeviceInfo.MU.{i}.Slot.{i}.EU.{i}.SwUpgrade.Stage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Stage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升级阶段</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unsignedInt[1:5]</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1:初始化</w:t>
            </w:r>
            <w:r>
              <w:rPr>
                <w:rFonts w:hint="eastAsia" w:ascii="宋体" w:hAnsi="宋体" w:cs="宋体"/>
                <w:color w:val="000000"/>
                <w:kern w:val="0"/>
                <w:sz w:val="18"/>
                <w:szCs w:val="18"/>
              </w:rPr>
              <w:br w:type="page"/>
            </w:r>
            <w:r>
              <w:rPr>
                <w:rFonts w:hint="eastAsia" w:ascii="宋体" w:hAnsi="宋体" w:cs="宋体"/>
                <w:color w:val="000000"/>
                <w:kern w:val="0"/>
                <w:sz w:val="18"/>
                <w:szCs w:val="18"/>
              </w:rPr>
              <w:t>2:下载</w:t>
            </w:r>
            <w:r>
              <w:rPr>
                <w:rFonts w:hint="eastAsia" w:ascii="宋体" w:hAnsi="宋体" w:cs="宋体"/>
                <w:color w:val="000000"/>
                <w:kern w:val="0"/>
                <w:sz w:val="18"/>
                <w:szCs w:val="18"/>
              </w:rPr>
              <w:br w:type="page"/>
            </w:r>
            <w:r>
              <w:rPr>
                <w:rFonts w:hint="eastAsia" w:ascii="宋体" w:hAnsi="宋体" w:cs="宋体"/>
                <w:color w:val="000000"/>
                <w:kern w:val="0"/>
                <w:sz w:val="18"/>
                <w:szCs w:val="18"/>
              </w:rPr>
              <w:t>3:安装</w:t>
            </w:r>
            <w:r>
              <w:rPr>
                <w:rFonts w:hint="eastAsia" w:ascii="宋体" w:hAnsi="宋体" w:cs="宋体"/>
                <w:color w:val="000000"/>
                <w:kern w:val="0"/>
                <w:sz w:val="18"/>
                <w:szCs w:val="18"/>
              </w:rPr>
              <w:br w:type="page"/>
            </w:r>
            <w:r>
              <w:rPr>
                <w:rFonts w:hint="eastAsia" w:ascii="宋体" w:hAnsi="宋体" w:cs="宋体"/>
                <w:color w:val="000000"/>
                <w:kern w:val="0"/>
                <w:sz w:val="18"/>
                <w:szCs w:val="18"/>
              </w:rPr>
              <w:t>4:等待激活</w:t>
            </w:r>
            <w:r>
              <w:rPr>
                <w:rFonts w:hint="eastAsia" w:ascii="宋体" w:hAnsi="宋体" w:cs="宋体"/>
                <w:color w:val="000000"/>
                <w:kern w:val="0"/>
                <w:sz w:val="18"/>
                <w:szCs w:val="18"/>
              </w:rPr>
              <w:br w:type="page"/>
            </w:r>
            <w:r>
              <w:rPr>
                <w:rFonts w:hint="eastAsia" w:ascii="宋体" w:hAnsi="宋体" w:cs="宋体"/>
                <w:color w:val="000000"/>
                <w:kern w:val="0"/>
                <w:sz w:val="18"/>
                <w:szCs w:val="18"/>
              </w:rPr>
              <w:t>5.激活</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750"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Device.DeviceInfo.MU.{i}.Slot.{i}.EU.{i}.SwUpgrade.Status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1:成功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3:失败</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Device.DeviceInfo.MU.{i}.Slot.{i}.EU.{i}.SwUpgrade.FailureCause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FailureCause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升级失败原因描述</w:t>
            </w:r>
          </w:p>
        </w:tc>
        <w:tc>
          <w:tcPr>
            <w:tcW w:w="106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扩展型微站-远端单元（RU）参数管理</w:t>
            </w: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Device.DeviceInfo.MU.{i}.Slot.{i}.EU.{i}.RU.{i}.RouteIndex</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RouteIndex</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射频单元路由指示</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1.扩展型微站主机单元与各扩展单元和远端单元可采用树状组网方式（包含菊花链、星形等）：主机单元为根节点，扩展单元为树枝节点，远端单元为叶节点；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本参数指示从主机单元的某一板卡的某一端口或非板卡形态的主机单元的某一端口到射频单元RU.{i}的路由路径，并与每个扩展单元的唯一标识对应，通过本参数和EU.{i}.RU.{i}可呈现整个组网拓扑结构及各单元所处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RouteIndex取值规则从左至右根据从主机单元某一板卡的某一端口(板卡与端口间以“.”分割)到射频单元RU.{i}的路由使用的各级扩展单元级联端口号逐级取值，每级之间以下划线“_”分割，直至到达本节点EU.{i}，EU.{i}与RU链接的下联端口用“+”表示。例如：“EU.{i}.RU.{i}.RouteIndex = 3.2_1_5+4”代表该路由起始于主机单元（第零级）第3板卡的端口2，经过第一级扩展单元端口1，第二级扩展单元级联端口5、下联端口4路由到本RU.{i}；非板卡类型主机单元，路由表示为2_1_5+4，2表示该路由起始于主机单元（第零级）的端口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4.通过RouteIndex取值中数值个数还能体现本射频单元RU.{i}所处级数，例如“EU.{i}.RouteIndex = 3.2_1_5+4”说明该射频单元RU.{i}位于第三级（主机单元为第零级）。 </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MU、EU和RU的端口从1开始</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1:正常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2:离线</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3:告警</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Device.DeviceInfo.MU.{i}.Slot.{i}.EU.{i}.RU.{i}.ManufacturerOUI</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ManufacturerOUI</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制造商OUI</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Device.DeviceInfo.MU.{i}.Slot.{i}.EU.{i}.RU.{i}.Manufacturer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Device.DeviceInfo.MU.{i}.Slot.{i}.EU.{i}.RU.{i}.ModelName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ModelName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设备型号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Device.DeviceInfo.MU.{i}.Slot.{i}.EU.{i}.RU.{i}.SerialNumber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SerialNumber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序列号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Device.DeviceInfo.MU.{i}.Slot.{i}.EU.{i}.RU.{i}.HardwareVersion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HardwareVersion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硬件版本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Device.DeviceInfo.MU.{i}.Slot.{i}.EU.{i}.RU.{i}.SoftwareVersion</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SoftwareVersion</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软件版本</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Device.DeviceInfo.MU.{i}.Slot.{i}.EU.{i}.RU.{i}.ProvisioningCode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ProvisioningCode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供应商代号</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Device.DeviceInfo.MU.{i}.Slot.{i}.EU.{i}.RU.{i}.Reboot</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Reboot</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重启开关</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0:不重启</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1:重启</w:t>
            </w:r>
          </w:p>
        </w:tc>
        <w:tc>
          <w:tcPr>
            <w:tcW w:w="1069"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Device.DeviceInfo.MU.{i}.Slot.{i}.EU.{i}.RU.{i}.MaxTxPower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MaxTxPower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最大发射功率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Device.DeviceInfo.MU.{i}.Slot.{i}.EU.{i}.RU.{i}.SwUpgrade.Stage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Stage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升级阶段</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unsignedInt[1:5]</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1:初始化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2:下载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3:安装</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4:等待激活</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5.激活</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Device.DeviceInfo.MU.{i}.Slot.{i}.EU.{i}.RU.{i}.SwUpgrade.Status</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1:成功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3:失败</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Device.DeviceInfo.MU.{i}.Slot.{i}.EU.{i}.RU.{i}.SwUpgrade.FailureCause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FailureCause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升级失败原因描述</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Device.DeviceInfo.MU.{i}.Slot.{i}.EU.{i}.RU.{i}.RFChannel.{i}.RxGain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RxGain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上行接收功率增益</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指小基站某个接收通道接收增益，</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Device.DeviceInfo.MU.{i}.Slot.{i}.EU.{i}.RU.{i}.RFChannel.{i}.TxGain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TxGain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下行发射功率增益</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指小基站某个发射通道发射增益，</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Device.DeviceInfo.MU.{i}.Slot.{i}.EU.{i}.RU.{i}.RFChannel.{i}.NoisePwdBm</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NoisePwdBm</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底噪</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Device.DeviceInfo.MU.{i}.Slot.{i}.EU.{i}.RU.{i}.RFChannel.{i}.RFTxStatus</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RFTxStatus</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射频状态</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RU某个通道的射频开关：</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0:关闭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1:开启</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Device.DeviceInfo.MU.{i}.Slot.{i}.EU.{i}.RU.{i}.RFChannel.{i}.VSWR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VSWR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下行驻波比</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Device.DeviceInfo.MU.{i}.Slot.{i}.EU.{i}.RU.{i}.RFChannel.{i}.RxPower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上行接收功率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336"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Device.DeviceInfo.MU.{i}.Slot.{i}.EU.{i}.RU.{i}.RFChannel.{i}.TxPower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下行发射功率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Device.DeviceInfo.MU.{i}.Slot.{i}.EU.{i}.RU.{i}.RFChannel.{i}.MaxTxPower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MaxTxPower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最大发射功率（标称功率）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90" w:hRule="atLeast"/>
        </w:trPr>
        <w:tc>
          <w:tcPr>
            <w:tcW w:w="920"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Device.DeviceInfo.MU.{i}.Slot.{i}.EU.{i}.RU.{i}.Temperature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Temperature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lang w:val="en-US" w:eastAsia="zh-CN"/>
              </w:rPr>
              <w:t>整机设备</w:t>
            </w:r>
            <w:r>
              <w:rPr>
                <w:rFonts w:hint="eastAsia" w:ascii="宋体" w:hAnsi="宋体" w:cs="宋体"/>
                <w:color w:val="000000"/>
                <w:kern w:val="0"/>
                <w:sz w:val="18"/>
                <w:szCs w:val="18"/>
              </w:rPr>
              <w:t>温度</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lang w:val="en-US" w:eastAsia="zh-CN"/>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lang w:val="en-US" w:eastAsia="zh-CN"/>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int</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单位：摄氏度</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restart"/>
            <w:tcBorders>
              <w:top w:val="nil"/>
              <w:left w:val="single" w:color="auto" w:sz="4" w:space="0"/>
              <w:bottom w:val="nil"/>
              <w:right w:val="single" w:color="auto" w:sz="4" w:space="0"/>
            </w:tcBorders>
            <w:shd w:val="clear" w:color="000000" w:fill="FFFFFF"/>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扩展型皮站-拉远射频单元（RRU）参数管理</w:t>
            </w: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Device.DeviceInfo.MU.{i}.Slot.{i}.RRU.{i}.RouteIndex</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RouteIndex</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射频单元路由指示</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1.扩展型大功率皮基站主机单元与各射频拉远单元可采用树状组网方式（包含菊花链、星形等）：主机单元为根节点，射频拉远单元为叶节点；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2.本参数指示从主机单元的某一板卡的某一端口或非板卡形态的主机单元的某一端口到射频拉远单元RRU.{i}的路由路径，通过本参数可呈现整个组网拓扑结构及各单元所处位置；</w:t>
            </w:r>
            <w:r>
              <w:rPr>
                <w:rFonts w:hint="eastAsia" w:ascii="宋体" w:hAnsi="宋体" w:cs="宋体"/>
                <w:color w:val="000000"/>
                <w:kern w:val="0"/>
                <w:sz w:val="18"/>
                <w:szCs w:val="18"/>
              </w:rPr>
              <w:br w:type="textWrapping"/>
            </w:r>
            <w:r>
              <w:rPr>
                <w:rFonts w:ascii="宋体" w:hAnsi="宋体" w:eastAsia="宋体"/>
                <w:color w:val="auto"/>
                <w:sz w:val="18"/>
                <w:szCs w:val="18"/>
              </w:rPr>
              <w:t>3.RouteIndex取值规则从左至右根据从主机单元某一板卡的某一端口(板卡与端口间以“.”分割)到射频拉远单元RRU.{i}的路由使用的各级射频拉远单元级联端口号逐级取值，每级之间以下划线“_”分割。例如：“MU.{i}.RRU.{i}.RouteIndex = 2.2_1_5”代表该路由起始于主机单元（第零级）第2板卡的</w:t>
            </w:r>
            <w:r>
              <w:rPr>
                <w:rFonts w:hint="eastAsia" w:ascii="宋体" w:hAnsi="宋体" w:eastAsia="宋体"/>
                <w:color w:val="auto"/>
                <w:sz w:val="18"/>
                <w:szCs w:val="18"/>
              </w:rPr>
              <w:t>下</w:t>
            </w:r>
            <w:r>
              <w:rPr>
                <w:rFonts w:ascii="宋体" w:hAnsi="宋体" w:eastAsia="宋体"/>
                <w:color w:val="auto"/>
                <w:sz w:val="18"/>
                <w:szCs w:val="18"/>
              </w:rPr>
              <w:t>联端口2，经过第一级射频拉远单元南向级联端口1，第二级射频拉远单元南向级联端口5路由到本RRU.{i}；非板卡类型主机单元，路由表示为2_1_5，2表示该路由起始于主机单元（第零级）的端口2。</w:t>
            </w:r>
            <w:r>
              <w:rPr>
                <w:rFonts w:ascii="宋体" w:hAnsi="宋体" w:eastAsia="宋体"/>
                <w:color w:val="auto"/>
                <w:sz w:val="18"/>
                <w:szCs w:val="18"/>
              </w:rPr>
              <w:br w:type="textWrapping"/>
            </w:r>
            <w:r>
              <w:rPr>
                <w:rFonts w:ascii="宋体" w:hAnsi="宋体" w:eastAsia="宋体"/>
                <w:color w:val="auto"/>
                <w:sz w:val="18"/>
                <w:szCs w:val="18"/>
              </w:rPr>
              <w:t>4.通过RouteIndex取值中数值个数还能体现本射频单元RRU.{i}所处级数，例如“RRU.{i}.RouteIndex = 2.2_1_5”说明该射频单元RRU.{i}位于</w:t>
            </w:r>
            <w:r>
              <w:rPr>
                <w:rFonts w:hint="eastAsia" w:ascii="宋体" w:hAnsi="宋体" w:eastAsia="宋体"/>
                <w:color w:val="auto"/>
                <w:sz w:val="18"/>
                <w:szCs w:val="18"/>
              </w:rPr>
              <w:t>扩展型架构</w:t>
            </w:r>
            <w:r>
              <w:rPr>
                <w:rFonts w:ascii="宋体" w:hAnsi="宋体" w:eastAsia="宋体"/>
                <w:color w:val="auto"/>
                <w:sz w:val="18"/>
                <w:szCs w:val="18"/>
              </w:rPr>
              <w:t>第二级（主机单元为第零级）</w:t>
            </w:r>
            <w:r>
              <w:rPr>
                <w:rFonts w:hint="eastAsia" w:ascii="宋体" w:hAnsi="宋体" w:eastAsia="宋体"/>
                <w:color w:val="auto"/>
                <w:sz w:val="18"/>
                <w:szCs w:val="18"/>
              </w:rPr>
              <w:t>，位于射频拉远单元级联的第三级</w:t>
            </w:r>
            <w:r>
              <w:rPr>
                <w:rFonts w:ascii="宋体" w:hAnsi="宋体" w:eastAsia="宋体"/>
                <w:color w:val="auto"/>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Device.DeviceInfo.MU.{i}.Slot.{i}.RRU.{i}.Status</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1:正常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2:离线</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3:告警</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Device.DeviceInfo.MU.{i}.Slot.{i}.RRU.{i}.ManufacturerOUI</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ManufacturerOUI</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制造商OUI</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Device.DeviceInfo.MU.{i}.Slot.{i}.RRU.{i}.Manufacturer</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Manufacturer</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制造商</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string(64) </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Device.DeviceInfo.MU.{i}.Slot.{i}.RRU.{i}.ModelName</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ModelName</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设备型号</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Device.DeviceInfo.MU.{i}.Slot.{i}.RRU.{i}.SerialNumber</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SerialNumber</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序列号</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Device.DeviceInfo.MU.{i}.Slot.{i}.RRU.{i}.HardwareVersion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HardwareVersion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硬件版本</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Device.DeviceInfo.MU.{i}.Slot.{i}.RRU.{i}.SoftwareVersion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SoftwareVersion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软件版本</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Device.DeviceInfo.MU.{i}.Slot.{i}.RRU.{i}.ProvisioningCode</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ProvisioningCode</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供应商代号</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Device.DeviceInfo.MU.{i}.Slot.{i}.RRU.{i}.Reboot</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Reboot</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重启开关</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0:不重启</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1:重启</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Device.DeviceInfo.MU.{i}.Slot.{i}.RRU.{i}.FrequencyBand</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FrequencyBand</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支持频段</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指RRU支持的工作频段，如n1、n2等频段。例如若支持n1、n2频段，则取值为{"n1","n2"}，具体取值参见38.104 5.4.2.3</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Device.DeviceInfo.MU.{i}.Slot.{i}.RRU.{i}.RFChannel.{i}.RxGain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RxGain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上行接收功率增益</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指小基站某个接收通道接收增益，</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Device.DeviceInfo.MU.{i}.Slot.{i}.RRU.{i}.RFChannel.{i}.TxGain</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TxGain</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下行发射功率增益</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单位dB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指小基站某个发射通道发射增益，</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Device.DeviceInfo.MU.{i}.Slot.{i}.RRU.{i}.RFChannel.{i}.NoisePwdBm</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NoisePwdBm</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底噪</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Device.DeviceInfo.MU.{i}.Slot.{i}.RRU.{i}.RFChannel.{i}.RFTxStatus</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RFTxStatus</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射频状态</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RRU某个通道的射频开关：</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0:关闭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1:开启</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80"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Device.DeviceInfo.MU.{i}.Slot.{i}.RRU.{i}.RFChannel.{i}.VSWR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VSWR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下行驻波比</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380"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Device.DeviceInfo.MU.{i}.Slot.{i}.RRU.{i}.RFChannel.{i}.RxPower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上行接收功率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380"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Device.DeviceInfo.MU.{i}.Slot.{i}.RRU.{i}.RFChannel.{i}.</w:t>
            </w:r>
            <w:r>
              <w:rPr>
                <w:rFonts w:hint="eastAsia" w:ascii="宋体" w:hAnsi="宋体" w:cs="宋体"/>
                <w:color w:val="000000"/>
                <w:kern w:val="0"/>
                <w:sz w:val="18"/>
                <w:szCs w:val="18"/>
                <w:lang w:val="en-US" w:eastAsia="zh-CN"/>
              </w:rPr>
              <w:t>T</w:t>
            </w:r>
            <w:r>
              <w:rPr>
                <w:rFonts w:hint="eastAsia" w:ascii="宋体" w:hAnsi="宋体" w:cs="宋体"/>
                <w:color w:val="000000"/>
                <w:kern w:val="0"/>
                <w:sz w:val="18"/>
                <w:szCs w:val="18"/>
              </w:rPr>
              <w:t>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T</w:t>
            </w:r>
            <w:r>
              <w:rPr>
                <w:rFonts w:hint="eastAsia" w:ascii="宋体" w:hAnsi="宋体" w:cs="宋体"/>
                <w:color w:val="000000"/>
                <w:kern w:val="0"/>
                <w:sz w:val="18"/>
                <w:szCs w:val="18"/>
              </w:rPr>
              <w:t>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下行发射功率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380"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Device.DeviceInfo.MU.{i}.Slot.{i}.RRU.{i}.RFChannel.{i}.MaxTxPower</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MaxTxPower</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最大发射功率（标称功率）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单位dBm</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380"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Device.DeviceInfo.MU.{i}.Slot.{i}.RRU.{i}.Temperature</w:t>
            </w:r>
          </w:p>
        </w:tc>
        <w:tc>
          <w:tcPr>
            <w:tcW w:w="1418"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Temperature</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整机设备功率</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auto" w:fill="auto"/>
            <w:vAlign w:val="center"/>
          </w:tcPr>
          <w:p>
            <w:pPr>
              <w:widowControl/>
              <w:jc w:val="center"/>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int</w:t>
            </w:r>
          </w:p>
        </w:tc>
        <w:tc>
          <w:tcPr>
            <w:tcW w:w="261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单位：摄氏度</w:t>
            </w:r>
          </w:p>
        </w:tc>
        <w:tc>
          <w:tcPr>
            <w:tcW w:w="1069"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cs="宋体"/>
                <w:kern w:val="0"/>
                <w:sz w:val="20"/>
                <w:szCs w:val="20"/>
              </w:rPr>
            </w:pPr>
          </w:p>
        </w:tc>
      </w:tr>
      <w:tr>
        <w:tblPrEx>
          <w:tblCellMar>
            <w:top w:w="0" w:type="dxa"/>
            <w:left w:w="108" w:type="dxa"/>
            <w:bottom w:w="0" w:type="dxa"/>
            <w:right w:w="108" w:type="dxa"/>
          </w:tblCellMar>
        </w:tblPrEx>
        <w:trPr>
          <w:trHeight w:val="1275"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Device.DeviceInfo.MU.{i}.Slot.{i}.RRU.{i}.SwUpgrade.Stage</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Stage</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升级阶段</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unsignedInt[1:5]</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1:初始化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2:下载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3:安装</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4:等待激活</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5.激活</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55"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Device.DeviceInfo.MU.{i}.Slot.{i}.RRU.{i}.SwUpgrade.Status</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Status</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状态</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1:成功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3:失败</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920"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kern w:val="0"/>
                <w:sz w:val="20"/>
                <w:szCs w:val="20"/>
              </w:rPr>
            </w:pPr>
          </w:p>
        </w:tc>
        <w:tc>
          <w:tcPr>
            <w:tcW w:w="546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Device.DeviceInfo.MU.{i}.Slot.{i}.RRU.{i}.SwUpgrade.FailureCause</w:t>
            </w:r>
          </w:p>
        </w:tc>
        <w:tc>
          <w:tcPr>
            <w:tcW w:w="141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FailureCause</w:t>
            </w:r>
          </w:p>
        </w:tc>
        <w:tc>
          <w:tcPr>
            <w:tcW w:w="992"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string(512)</w:t>
            </w:r>
          </w:p>
        </w:tc>
        <w:tc>
          <w:tcPr>
            <w:tcW w:w="2616"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升级失败原因描述</w:t>
            </w:r>
          </w:p>
        </w:tc>
        <w:tc>
          <w:tcPr>
            <w:tcW w:w="106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80" w:hRule="atLeast"/>
        </w:trPr>
        <w:tc>
          <w:tcPr>
            <w:tcW w:w="920" w:type="dxa"/>
            <w:vMerge w:val="restart"/>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多实例状态变化通知参数</w:t>
            </w:r>
          </w:p>
        </w:tc>
        <w:tc>
          <w:tcPr>
            <w:tcW w:w="5464"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Device.DeviceInfo.AddEndPoint</w:t>
            </w:r>
          </w:p>
        </w:tc>
        <w:tc>
          <w:tcPr>
            <w:tcW w:w="1418"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AddEndPoint</w:t>
            </w:r>
          </w:p>
        </w:tc>
        <w:tc>
          <w:tcPr>
            <w:tcW w:w="992"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多实例新增</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string(256)</w:t>
            </w:r>
          </w:p>
        </w:tc>
        <w:tc>
          <w:tcPr>
            <w:tcW w:w="2616"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多实例新增：</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微站本地侧增加一个多实例时，需调用此模型通知网管具体增加的多实例节点， 保证两边的数据统一性。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例：远端(汇聚)单元接入时，扩展型微站需要用此型路径然后才用《南向接口技术规范》中103 ADD OBJECT事件上报网管。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Device.DeviceInfo.AddEndPoint=Device.DeviceInfo.EU.1.RU.3.，同时当存在多个新增实例时使用","进行分割</w:t>
            </w:r>
          </w:p>
        </w:tc>
        <w:tc>
          <w:tcPr>
            <w:tcW w:w="1069" w:type="dxa"/>
            <w:tcBorders>
              <w:top w:val="nil"/>
              <w:left w:val="nil"/>
              <w:bottom w:val="single" w:color="auto" w:sz="4" w:space="0"/>
              <w:right w:val="single" w:color="auto" w:sz="4" w:space="0"/>
            </w:tcBorders>
            <w:shd w:val="clear" w:color="000000" w:fill="FFFFFF"/>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r>
        <w:tblPrEx>
          <w:tblCellMar>
            <w:top w:w="0" w:type="dxa"/>
            <w:left w:w="108" w:type="dxa"/>
            <w:bottom w:w="0" w:type="dxa"/>
            <w:right w:w="108" w:type="dxa"/>
          </w:tblCellMar>
        </w:tblPrEx>
        <w:trPr>
          <w:trHeight w:val="259" w:hRule="atLeast"/>
        </w:trPr>
        <w:tc>
          <w:tcPr>
            <w:tcW w:w="9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464"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Device.DeviceInfo.DelEndPoint</w:t>
            </w:r>
          </w:p>
        </w:tc>
        <w:tc>
          <w:tcPr>
            <w:tcW w:w="1418"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DelEndPoint</w:t>
            </w:r>
          </w:p>
        </w:tc>
        <w:tc>
          <w:tcPr>
            <w:tcW w:w="992"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多实例删除</w:t>
            </w:r>
          </w:p>
        </w:tc>
        <w:tc>
          <w:tcPr>
            <w:tcW w:w="39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397"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474"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string(256)</w:t>
            </w:r>
          </w:p>
        </w:tc>
        <w:tc>
          <w:tcPr>
            <w:tcW w:w="2616"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多实例删除：</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微站本地侧删除一个多实例时，需调用此模型通知网管具体删除的多实例节点， 保证两边的数据统一性。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例：当远端(汇聚)设备部署位置拆除时，扩展型微站需要用此模型路径然后才用《南向接口技术规范》中104 DELETE OBJECT事件上报网管。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Device.DeviceInfo.DelEndPoint=Device.DeviceInfo.EU.1.RU.3.，同时当存在多个新增实例时使用","进行分割</w:t>
            </w:r>
          </w:p>
        </w:tc>
        <w:tc>
          <w:tcPr>
            <w:tcW w:w="1069" w:type="dxa"/>
            <w:tcBorders>
              <w:top w:val="nil"/>
              <w:left w:val="nil"/>
              <w:bottom w:val="single" w:color="auto" w:sz="4" w:space="0"/>
              <w:right w:val="single" w:color="auto" w:sz="4" w:space="0"/>
            </w:tcBorders>
            <w:shd w:val="clear" w:color="000000" w:fill="FFFFFF"/>
            <w:noWrap/>
            <w:vAlign w:val="center"/>
          </w:tcPr>
          <w:p>
            <w:pPr>
              <w:widowControl/>
              <w:jc w:val="left"/>
              <w:rPr>
                <w:rFonts w:ascii="宋体" w:hAnsi="宋体" w:cs="宋体"/>
                <w:color w:val="000000"/>
                <w:kern w:val="0"/>
                <w:szCs w:val="22"/>
              </w:rPr>
            </w:pPr>
            <w:r>
              <w:rPr>
                <w:rFonts w:hint="eastAsia" w:ascii="宋体" w:hAnsi="宋体" w:cs="宋体"/>
                <w:color w:val="000000"/>
                <w:kern w:val="0"/>
                <w:szCs w:val="22"/>
              </w:rPr>
              <w:t>　</w:t>
            </w:r>
          </w:p>
        </w:tc>
      </w:tr>
    </w:tbl>
    <w:p>
      <w:pPr>
        <w:pStyle w:val="3"/>
        <w:tabs>
          <w:tab w:val="left" w:pos="7938"/>
          <w:tab w:val="left" w:pos="8789"/>
        </w:tabs>
        <w:spacing w:line="360" w:lineRule="auto"/>
        <w:ind w:firstLine="0" w:firstLineChars="0"/>
        <w:jc w:val="left"/>
        <w:rPr>
          <w:rFonts w:ascii="黑体" w:hAnsi="黑体"/>
          <w:sz w:val="21"/>
          <w:szCs w:val="18"/>
        </w:rPr>
      </w:pPr>
    </w:p>
    <w:p>
      <w:pPr>
        <w:pStyle w:val="4"/>
        <w:rPr>
          <w:rFonts w:ascii="黑体" w:hAnsi="黑体" w:eastAsia="黑体"/>
          <w:b w:val="0"/>
          <w:bCs w:val="0"/>
          <w:sz w:val="21"/>
          <w:szCs w:val="21"/>
        </w:rPr>
      </w:pPr>
      <w:bookmarkStart w:id="18" w:name="_Toc89684807"/>
      <w:r>
        <w:rPr>
          <w:rFonts w:hint="eastAsia" w:ascii="黑体" w:hAnsi="黑体" w:eastAsia="黑体"/>
          <w:b w:val="0"/>
          <w:bCs w:val="0"/>
          <w:sz w:val="21"/>
          <w:szCs w:val="21"/>
        </w:rPr>
        <w:t>网管设备</w:t>
      </w:r>
      <w:r>
        <w:rPr>
          <w:rFonts w:ascii="黑体" w:hAnsi="黑体" w:eastAsia="黑体"/>
          <w:b w:val="0"/>
          <w:bCs w:val="0"/>
          <w:sz w:val="21"/>
          <w:szCs w:val="21"/>
        </w:rPr>
        <w:t>数据模型测试</w:t>
      </w:r>
      <w:bookmarkEnd w:id="10"/>
      <w:bookmarkEnd w:id="11"/>
      <w:bookmarkEnd w:id="18"/>
    </w:p>
    <w:p>
      <w:pPr>
        <w:jc w:val="center"/>
      </w:pPr>
      <w:r>
        <w:rPr>
          <w:rFonts w:hint="eastAsia"/>
        </w:rPr>
        <w:t>表</w:t>
      </w:r>
      <w:r>
        <w:t>3</w:t>
      </w:r>
      <w:r>
        <w:rPr>
          <w:rFonts w:hint="eastAsia"/>
        </w:rPr>
        <w:t>：软件版本参数管理</w:t>
      </w:r>
    </w:p>
    <w:tbl>
      <w:tblPr>
        <w:tblStyle w:val="22"/>
        <w:tblW w:w="14832" w:type="dxa"/>
        <w:tblInd w:w="103" w:type="dxa"/>
        <w:tblLayout w:type="autofit"/>
        <w:tblCellMar>
          <w:top w:w="0" w:type="dxa"/>
          <w:left w:w="108" w:type="dxa"/>
          <w:bottom w:w="0" w:type="dxa"/>
          <w:right w:w="108" w:type="dxa"/>
        </w:tblCellMar>
      </w:tblPr>
      <w:tblGrid>
        <w:gridCol w:w="713"/>
        <w:gridCol w:w="3817"/>
        <w:gridCol w:w="2016"/>
        <w:gridCol w:w="1079"/>
        <w:gridCol w:w="424"/>
        <w:gridCol w:w="693"/>
        <w:gridCol w:w="1116"/>
        <w:gridCol w:w="3614"/>
        <w:gridCol w:w="1360"/>
      </w:tblGrid>
      <w:tr>
        <w:tblPrEx>
          <w:tblCellMar>
            <w:top w:w="0" w:type="dxa"/>
            <w:left w:w="108" w:type="dxa"/>
            <w:bottom w:w="0" w:type="dxa"/>
            <w:right w:w="108" w:type="dxa"/>
          </w:tblCellMar>
        </w:tblPrEx>
        <w:trPr>
          <w:trHeight w:val="540" w:hRule="atLeast"/>
        </w:trPr>
        <w:tc>
          <w:tcPr>
            <w:tcW w:w="713"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381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2016"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07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42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693"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11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361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c>
          <w:tcPr>
            <w:tcW w:w="1360"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备注</w:t>
            </w:r>
          </w:p>
        </w:tc>
      </w:tr>
      <w:tr>
        <w:tblPrEx>
          <w:tblCellMar>
            <w:top w:w="0" w:type="dxa"/>
            <w:left w:w="108" w:type="dxa"/>
            <w:bottom w:w="0" w:type="dxa"/>
            <w:right w:w="108" w:type="dxa"/>
          </w:tblCellMar>
        </w:tblPrEx>
        <w:trPr>
          <w:trHeight w:val="675" w:hRule="atLeast"/>
        </w:trPr>
        <w:tc>
          <w:tcPr>
            <w:tcW w:w="713"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版本参数管理</w:t>
            </w:r>
          </w:p>
        </w:tc>
        <w:tc>
          <w:tcPr>
            <w:tcW w:w="38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Device.SoftwareCtrl.AutoActivateEnable</w:t>
            </w:r>
          </w:p>
        </w:tc>
        <w:tc>
          <w:tcPr>
            <w:tcW w:w="20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AutoActivateEnable</w:t>
            </w:r>
          </w:p>
        </w:tc>
        <w:tc>
          <w:tcPr>
            <w:tcW w:w="107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立即激活目标升级版本使能开关</w:t>
            </w:r>
          </w:p>
        </w:tc>
        <w:tc>
          <w:tcPr>
            <w:tcW w:w="42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6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1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61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(0=false,1=true)，立即激活目标升级版本使能开关，当为true时，设备下载成功目标升级版本后立即激活版本，当为flase时，需要和ActivateTime这两个参数一起使用。</w:t>
            </w:r>
          </w:p>
        </w:tc>
        <w:tc>
          <w:tcPr>
            <w:tcW w:w="1360"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Cs w:val="22"/>
              </w:rPr>
            </w:pPr>
            <w:r>
              <w:rPr>
                <w:rFonts w:hint="eastAsia" w:ascii="宋体" w:hAnsi="宋体" w:cs="宋体"/>
                <w:kern w:val="0"/>
                <w:szCs w:val="22"/>
              </w:rPr>
              <w:t>　</w:t>
            </w:r>
          </w:p>
        </w:tc>
      </w:tr>
      <w:tr>
        <w:tblPrEx>
          <w:tblCellMar>
            <w:top w:w="0" w:type="dxa"/>
            <w:left w:w="108" w:type="dxa"/>
            <w:bottom w:w="0" w:type="dxa"/>
            <w:right w:w="108" w:type="dxa"/>
          </w:tblCellMar>
        </w:tblPrEx>
        <w:trPr>
          <w:trHeight w:val="450" w:hRule="atLeast"/>
        </w:trPr>
        <w:tc>
          <w:tcPr>
            <w:tcW w:w="713"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8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Device.SoftwareCtrl.ActivateTime</w:t>
            </w:r>
          </w:p>
        </w:tc>
        <w:tc>
          <w:tcPr>
            <w:tcW w:w="20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ActivateTime</w:t>
            </w:r>
          </w:p>
        </w:tc>
        <w:tc>
          <w:tcPr>
            <w:tcW w:w="107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软件激活时间</w:t>
            </w:r>
          </w:p>
        </w:tc>
        <w:tc>
          <w:tcPr>
            <w:tcW w:w="42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6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1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361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激活时间，格式如：2012-12-11T19:15:00Z，下发命令后设备只要在大于等于激活时间里开启，就会激活系统备份版本。</w:t>
            </w:r>
          </w:p>
        </w:tc>
        <w:tc>
          <w:tcPr>
            <w:tcW w:w="1360"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Cs w:val="22"/>
              </w:rPr>
            </w:pPr>
            <w:r>
              <w:rPr>
                <w:rFonts w:hint="eastAsia" w:ascii="宋体" w:hAnsi="宋体" w:cs="宋体"/>
                <w:kern w:val="0"/>
                <w:szCs w:val="22"/>
              </w:rPr>
              <w:t>　</w:t>
            </w:r>
          </w:p>
        </w:tc>
      </w:tr>
      <w:tr>
        <w:tblPrEx>
          <w:tblCellMar>
            <w:top w:w="0" w:type="dxa"/>
            <w:left w:w="108" w:type="dxa"/>
            <w:bottom w:w="0" w:type="dxa"/>
            <w:right w:w="108" w:type="dxa"/>
          </w:tblCellMar>
        </w:tblPrEx>
        <w:trPr>
          <w:trHeight w:val="450" w:hRule="atLeast"/>
        </w:trPr>
        <w:tc>
          <w:tcPr>
            <w:tcW w:w="713"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8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Device.SoftwareCtrl.ActivateEnable</w:t>
            </w:r>
          </w:p>
        </w:tc>
        <w:tc>
          <w:tcPr>
            <w:tcW w:w="20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ActivateEnable</w:t>
            </w:r>
          </w:p>
        </w:tc>
        <w:tc>
          <w:tcPr>
            <w:tcW w:w="107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激活备份版本使能开关</w:t>
            </w:r>
          </w:p>
        </w:tc>
        <w:tc>
          <w:tcPr>
            <w:tcW w:w="42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6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1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61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(0=false,1=true)激活备份版本使能开关，当为true时立即激活备份版本。</w:t>
            </w:r>
          </w:p>
        </w:tc>
        <w:tc>
          <w:tcPr>
            <w:tcW w:w="1360"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Cs w:val="22"/>
              </w:rPr>
            </w:pPr>
            <w:r>
              <w:rPr>
                <w:rFonts w:hint="eastAsia" w:ascii="宋体" w:hAnsi="宋体" w:cs="宋体"/>
                <w:kern w:val="0"/>
                <w:szCs w:val="22"/>
              </w:rPr>
              <w:t>　</w:t>
            </w:r>
          </w:p>
        </w:tc>
      </w:tr>
      <w:tr>
        <w:tblPrEx>
          <w:tblCellMar>
            <w:top w:w="0" w:type="dxa"/>
            <w:left w:w="108" w:type="dxa"/>
            <w:bottom w:w="0" w:type="dxa"/>
            <w:right w:w="108" w:type="dxa"/>
          </w:tblCellMar>
        </w:tblPrEx>
        <w:trPr>
          <w:trHeight w:val="270" w:hRule="atLeast"/>
        </w:trPr>
        <w:tc>
          <w:tcPr>
            <w:tcW w:w="713"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8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Device.SoftwareCtrl.SystemCurrentVersion</w:t>
            </w:r>
          </w:p>
        </w:tc>
        <w:tc>
          <w:tcPr>
            <w:tcW w:w="20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SystemCurrentVersion</w:t>
            </w:r>
          </w:p>
        </w:tc>
        <w:tc>
          <w:tcPr>
            <w:tcW w:w="107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系统当前版本</w:t>
            </w:r>
          </w:p>
        </w:tc>
        <w:tc>
          <w:tcPr>
            <w:tcW w:w="42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6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1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361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系统正在使用的版本。表示gNB整体版本。</w:t>
            </w:r>
          </w:p>
        </w:tc>
        <w:tc>
          <w:tcPr>
            <w:tcW w:w="1360"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Cs w:val="22"/>
              </w:rPr>
            </w:pPr>
            <w:r>
              <w:rPr>
                <w:rFonts w:hint="eastAsia" w:ascii="宋体" w:hAnsi="宋体" w:cs="宋体"/>
                <w:kern w:val="0"/>
                <w:szCs w:val="22"/>
              </w:rPr>
              <w:t>　</w:t>
            </w:r>
          </w:p>
        </w:tc>
      </w:tr>
      <w:tr>
        <w:tblPrEx>
          <w:tblCellMar>
            <w:top w:w="0" w:type="dxa"/>
            <w:left w:w="108" w:type="dxa"/>
            <w:bottom w:w="0" w:type="dxa"/>
            <w:right w:w="108" w:type="dxa"/>
          </w:tblCellMar>
        </w:tblPrEx>
        <w:trPr>
          <w:trHeight w:val="270" w:hRule="atLeast"/>
        </w:trPr>
        <w:tc>
          <w:tcPr>
            <w:tcW w:w="713"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8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Device.SoftwareCtrl.SystemBackupVersion</w:t>
            </w:r>
          </w:p>
        </w:tc>
        <w:tc>
          <w:tcPr>
            <w:tcW w:w="20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SystemBackupVersion</w:t>
            </w:r>
          </w:p>
        </w:tc>
        <w:tc>
          <w:tcPr>
            <w:tcW w:w="107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系统备份版本</w:t>
            </w:r>
          </w:p>
        </w:tc>
        <w:tc>
          <w:tcPr>
            <w:tcW w:w="42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6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1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361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系统备份版本，新下载的或以前使用的版本。</w:t>
            </w:r>
          </w:p>
        </w:tc>
        <w:tc>
          <w:tcPr>
            <w:tcW w:w="1360"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Cs w:val="22"/>
              </w:rPr>
            </w:pPr>
            <w:r>
              <w:rPr>
                <w:rFonts w:hint="eastAsia" w:ascii="宋体" w:hAnsi="宋体" w:cs="宋体"/>
                <w:kern w:val="0"/>
                <w:szCs w:val="22"/>
              </w:rPr>
              <w:t>　</w:t>
            </w:r>
          </w:p>
        </w:tc>
      </w:tr>
    </w:tbl>
    <w:p>
      <w:pPr>
        <w:pStyle w:val="3"/>
        <w:spacing w:line="360" w:lineRule="auto"/>
        <w:ind w:firstLine="420"/>
        <w:rPr>
          <w:rFonts w:ascii="黑体" w:hAnsi="黑体" w:eastAsia="黑体"/>
          <w:sz w:val="21"/>
          <w:szCs w:val="21"/>
        </w:rPr>
      </w:pPr>
    </w:p>
    <w:p>
      <w:pPr>
        <w:pStyle w:val="4"/>
        <w:rPr>
          <w:rFonts w:ascii="黑体" w:hAnsi="黑体" w:eastAsia="黑体"/>
          <w:b w:val="0"/>
          <w:bCs w:val="0"/>
          <w:sz w:val="21"/>
          <w:szCs w:val="21"/>
        </w:rPr>
      </w:pPr>
      <w:bookmarkStart w:id="19" w:name="_Toc89684808"/>
      <w:r>
        <w:rPr>
          <w:rFonts w:hint="eastAsia" w:ascii="黑体" w:hAnsi="黑体" w:eastAsia="黑体"/>
          <w:b w:val="0"/>
          <w:bCs w:val="0"/>
          <w:sz w:val="21"/>
          <w:szCs w:val="21"/>
        </w:rPr>
        <w:t>基站网管参数</w:t>
      </w:r>
      <w:bookmarkEnd w:id="19"/>
    </w:p>
    <w:p>
      <w:pPr>
        <w:jc w:val="center"/>
      </w:pPr>
      <w:r>
        <w:rPr>
          <w:rFonts w:hint="eastAsia"/>
        </w:rPr>
        <w:t>表4：基站网管参数</w:t>
      </w:r>
    </w:p>
    <w:tbl>
      <w:tblPr>
        <w:tblStyle w:val="22"/>
        <w:tblW w:w="13908" w:type="dxa"/>
        <w:tblInd w:w="103" w:type="dxa"/>
        <w:tblLayout w:type="fixed"/>
        <w:tblCellMar>
          <w:top w:w="0" w:type="dxa"/>
          <w:left w:w="108" w:type="dxa"/>
          <w:bottom w:w="0" w:type="dxa"/>
          <w:right w:w="108" w:type="dxa"/>
        </w:tblCellMar>
      </w:tblPr>
      <w:tblGrid>
        <w:gridCol w:w="664"/>
        <w:gridCol w:w="3877"/>
        <w:gridCol w:w="1985"/>
        <w:gridCol w:w="1134"/>
        <w:gridCol w:w="425"/>
        <w:gridCol w:w="743"/>
        <w:gridCol w:w="1100"/>
        <w:gridCol w:w="3980"/>
      </w:tblGrid>
      <w:tr>
        <w:tblPrEx>
          <w:tblCellMar>
            <w:top w:w="0" w:type="dxa"/>
            <w:left w:w="108" w:type="dxa"/>
            <w:bottom w:w="0" w:type="dxa"/>
            <w:right w:w="108" w:type="dxa"/>
          </w:tblCellMar>
        </w:tblPrEx>
        <w:trPr>
          <w:trHeight w:val="510" w:hRule="atLeast"/>
        </w:trPr>
        <w:tc>
          <w:tcPr>
            <w:tcW w:w="664"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387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985"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42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743"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100"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3980"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450" w:hRule="atLeast"/>
        </w:trPr>
        <w:tc>
          <w:tcPr>
            <w:tcW w:w="664"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网管参数管理</w:t>
            </w: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Device.ManagementServer.URL</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URL</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网管服务器URL</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ACS使用CWMP连接ACS的URL。格式必须为合法的HTTP/HTTPS的形式。</w:t>
            </w:r>
          </w:p>
        </w:tc>
      </w:tr>
      <w:tr>
        <w:tblPrEx>
          <w:tblCellMar>
            <w:top w:w="0" w:type="dxa"/>
            <w:left w:w="108" w:type="dxa"/>
            <w:bottom w:w="0" w:type="dxa"/>
            <w:right w:w="108" w:type="dxa"/>
          </w:tblCellMar>
        </w:tblPrEx>
        <w:trPr>
          <w:trHeight w:val="45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Device.ManagementServer.Username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Username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连接用户名</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ACS使用CWMP连接基站时使用的认证用户名。仅用于基站的基于HTTP的认证。</w:t>
            </w:r>
          </w:p>
        </w:tc>
      </w:tr>
      <w:tr>
        <w:tblPrEx>
          <w:tblCellMar>
            <w:top w:w="0" w:type="dxa"/>
            <w:left w:w="108" w:type="dxa"/>
            <w:bottom w:w="0" w:type="dxa"/>
            <w:right w:w="108" w:type="dxa"/>
          </w:tblCellMar>
        </w:tblPrEx>
        <w:trPr>
          <w:trHeight w:val="45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Device.ManagementServer.Password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Password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连接密码</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基站使用CWMP连接ACS时使用的认证密码。仅用于基站的基于HTTP的认证。读取时返回一个空字符串.</w:t>
            </w:r>
          </w:p>
        </w:tc>
      </w:tr>
      <w:tr>
        <w:tblPrEx>
          <w:tblCellMar>
            <w:top w:w="0" w:type="dxa"/>
            <w:left w:w="108" w:type="dxa"/>
            <w:bottom w:w="0" w:type="dxa"/>
            <w:right w:w="108" w:type="dxa"/>
          </w:tblCellMar>
        </w:tblPrEx>
        <w:trPr>
          <w:trHeight w:val="675"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Device.ManagementServer.PeriodicInformEnable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PeriodicInformEnable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连接使能开关</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基站是否必须利用Inform方法调用定时向服务器端发送基站信息。当PeriodicInformEnable=true时，PeriodicInformInterval才起作用</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Device.ManagementServer.PeriodicInformTime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PeriodicInformTime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上报周期</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 dateTime </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2012-12-11T19:15:00Z</w:t>
            </w:r>
          </w:p>
        </w:tc>
      </w:tr>
      <w:tr>
        <w:tblPrEx>
          <w:tblCellMar>
            <w:top w:w="0" w:type="dxa"/>
            <w:left w:w="108" w:type="dxa"/>
            <w:bottom w:w="0" w:type="dxa"/>
            <w:right w:w="108" w:type="dxa"/>
          </w:tblCellMar>
        </w:tblPrEx>
        <w:trPr>
          <w:trHeight w:val="45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Device.ManagementServer.PeriodicInformInterval</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PeriodicInformInterval</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周期上报时间间隔</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unsignedInt[1:]</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在PeriodicInformEnable为真时，基站必须尝试连接ACS并调用Inform方法的时间间隔。当PeriodicInformEnable=true才生效</w:t>
            </w:r>
          </w:p>
        </w:tc>
      </w:tr>
      <w:tr>
        <w:tblPrEx>
          <w:tblCellMar>
            <w:top w:w="0" w:type="dxa"/>
            <w:left w:w="108" w:type="dxa"/>
            <w:bottom w:w="0" w:type="dxa"/>
            <w:right w:w="108" w:type="dxa"/>
          </w:tblCellMar>
        </w:tblPrEx>
        <w:trPr>
          <w:trHeight w:val="675"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Device.ManagementServer.ParameterKey</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ParameterKey</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键值</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string(32)</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来自于服务器的最新的 SetParameterValues，AddObject 或 DeleteObject 方法调用的 ParameterKey 自变量数值。如果没有此类调用，此数值为空。</w:t>
            </w:r>
          </w:p>
        </w:tc>
      </w:tr>
      <w:tr>
        <w:tblPrEx>
          <w:tblCellMar>
            <w:top w:w="0" w:type="dxa"/>
            <w:left w:w="108" w:type="dxa"/>
            <w:bottom w:w="0" w:type="dxa"/>
            <w:right w:w="108" w:type="dxa"/>
          </w:tblCellMar>
        </w:tblPrEx>
        <w:trPr>
          <w:trHeight w:val="675"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Device.ManagementServer.ConnectionRequestURL</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ConnectionRequestURL</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连接请求URL</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ACS向基站发起连接请求通知时所使用的HTTPURL。其形式如下：http://host:port/SOAP/HNBServlet?a=1的"主机"部分可以是基站管理接口的IP地址，用以替代域名。</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Device.ManagementServer.ConnectionRequestUsername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ConnectionRequestUsername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连接请求用户名</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ACS向基站发起连接请求时，鉴权过程使用的用户名。</w:t>
            </w:r>
          </w:p>
        </w:tc>
      </w:tr>
      <w:tr>
        <w:tblPrEx>
          <w:tblCellMar>
            <w:top w:w="0" w:type="dxa"/>
            <w:left w:w="108" w:type="dxa"/>
            <w:bottom w:w="0" w:type="dxa"/>
            <w:right w:w="108" w:type="dxa"/>
          </w:tblCellMar>
        </w:tblPrEx>
        <w:trPr>
          <w:trHeight w:val="45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Device.ManagementServer.ConnectionRequestPassword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ConnectionRequestPassword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连接请求密码</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ACS向基站发起连接请求时，鉴权过程使用的密码。在被读取时，该参数会忽略实际值而返回一个空字符串。</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Device.ManagementServer.UDPConnectionRequestAddress</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UDPConnectionRequestAddress</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UDP连接请求地址</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Device.ManagementServer.STUNEnable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STUNEnable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STUN使能开关</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(0=false,1=true)</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Device.ManagementServer.STUNServerAddress</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STUNServerAddress</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STUN服务器地址</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Device.ManagementServer.STUNServerPort</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STUNServerPort</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STUN服务器端口</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unsignedInt[0:65535]</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Device.ManagementServer.STUNUsername</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STUNUsername</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STUN用户名</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Device.ManagementServer.STUNPassword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STUNPassword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STUN密码</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Device.ManagementServer.STUNMaximumKeepAlivePeriod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STUNMaximumKeepAlivePeriod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STUN最大生存周期</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int[-1:65535]</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Device.ManagementServer.STUNMinimumKeepAlivePeriod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STUNMinimumKeepAlivePeriod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STUN最小生存周期</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unsignedInt[0:65535]</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40" w:hRule="atLeast"/>
        </w:trPr>
        <w:tc>
          <w:tcPr>
            <w:tcW w:w="66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8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Device.ManagementServer.NATDetected</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NATDetected</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NAT转换地址</w:t>
            </w:r>
          </w:p>
        </w:tc>
        <w:tc>
          <w:tcPr>
            <w:tcW w:w="42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4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9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(0=false,1=true)</w:t>
            </w:r>
          </w:p>
        </w:tc>
      </w:tr>
    </w:tbl>
    <w:p>
      <w:pPr>
        <w:pStyle w:val="3"/>
        <w:spacing w:line="360" w:lineRule="auto"/>
        <w:ind w:firstLine="420"/>
        <w:rPr>
          <w:rFonts w:ascii="黑体" w:hAnsi="黑体" w:eastAsia="黑体"/>
          <w:sz w:val="21"/>
          <w:szCs w:val="21"/>
        </w:rPr>
      </w:pPr>
    </w:p>
    <w:p>
      <w:pPr>
        <w:pStyle w:val="4"/>
        <w:rPr>
          <w:rFonts w:ascii="黑体" w:hAnsi="黑体" w:eastAsia="黑体"/>
          <w:b w:val="0"/>
          <w:bCs w:val="0"/>
          <w:sz w:val="21"/>
          <w:szCs w:val="21"/>
        </w:rPr>
      </w:pPr>
      <w:bookmarkStart w:id="20" w:name="_Toc89684809"/>
      <w:r>
        <w:rPr>
          <w:rFonts w:hint="eastAsia" w:ascii="黑体" w:hAnsi="黑体" w:eastAsia="黑体"/>
          <w:b w:val="0"/>
          <w:bCs w:val="0"/>
          <w:sz w:val="21"/>
          <w:szCs w:val="21"/>
        </w:rPr>
        <w:t>告警参数</w:t>
      </w:r>
      <w:bookmarkEnd w:id="20"/>
    </w:p>
    <w:p>
      <w:pPr>
        <w:jc w:val="center"/>
      </w:pPr>
      <w:r>
        <w:rPr>
          <w:rFonts w:hint="eastAsia"/>
        </w:rPr>
        <w:t>表</w:t>
      </w:r>
      <w:r>
        <w:t>5</w:t>
      </w:r>
      <w:r>
        <w:rPr>
          <w:rFonts w:hint="eastAsia"/>
        </w:rPr>
        <w:t>：告警参数</w:t>
      </w:r>
    </w:p>
    <w:tbl>
      <w:tblPr>
        <w:tblStyle w:val="22"/>
        <w:tblW w:w="13943" w:type="dxa"/>
        <w:tblInd w:w="103" w:type="dxa"/>
        <w:tblLayout w:type="fixed"/>
        <w:tblCellMar>
          <w:top w:w="0" w:type="dxa"/>
          <w:left w:w="108" w:type="dxa"/>
          <w:bottom w:w="0" w:type="dxa"/>
          <w:right w:w="108" w:type="dxa"/>
        </w:tblCellMar>
      </w:tblPr>
      <w:tblGrid>
        <w:gridCol w:w="556"/>
        <w:gridCol w:w="5119"/>
        <w:gridCol w:w="1843"/>
        <w:gridCol w:w="1239"/>
        <w:gridCol w:w="523"/>
        <w:gridCol w:w="718"/>
        <w:gridCol w:w="1206"/>
        <w:gridCol w:w="2739"/>
      </w:tblGrid>
      <w:tr>
        <w:tblPrEx>
          <w:tblCellMar>
            <w:top w:w="0" w:type="dxa"/>
            <w:left w:w="108" w:type="dxa"/>
            <w:bottom w:w="0" w:type="dxa"/>
            <w:right w:w="108" w:type="dxa"/>
          </w:tblCellMar>
        </w:tblPrEx>
        <w:trPr>
          <w:trHeight w:val="540" w:hRule="atLeast"/>
        </w:trPr>
        <w:tc>
          <w:tcPr>
            <w:tcW w:w="556"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11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843"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23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523"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718"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20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273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450" w:hRule="atLeast"/>
        </w:trPr>
        <w:tc>
          <w:tcPr>
            <w:tcW w:w="55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告警管理</w:t>
            </w: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Device.FaultMgmt.SupportedAlarmNumberOfEntries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SupportedAlarmNumberOfEntries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最大告警实例数量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Device.FaultMgmt.MaxCurrentAlarmEntries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MaxCurrentAlarmEntries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最大当前告警实例数量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Device.FaultMgmt.CurrentAlarmNumberOfEntries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CurrentAlarmNumberOfEntries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当前告警实例数量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Device.FaultMgmt.HistoryEventNumberOfEntries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HistoryEventNumberOfEntries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历史事件实例数量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Device.FaultMgmt.ExpeditedEventNumberOfEntries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ExpeditedEventNumberOfEntries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紧急事件实例数量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Device.FaultMgmt.QueuedEventNumberOfEntries</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QueuedEventNumberOfEntries</w:t>
            </w:r>
          </w:p>
        </w:tc>
        <w:tc>
          <w:tcPr>
            <w:tcW w:w="12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队列事件实例数量</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w:t>
            </w:r>
          </w:p>
        </w:tc>
        <w:tc>
          <w:tcPr>
            <w:tcW w:w="273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Device.FaultMgmt.SupportedAlarm.{i}.EventType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设备上报告警消息中的告警类型，包括通讯告警、环境告警、设备告警、处理错误告警、服务质量告警等</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Device.FaultMgmt.SupportedAlarm.{i}.ProbableCause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ProbableCause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告警原因</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Device.FaultMgmt.SupportedAlarm.{i}.SpecificProblem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SpecificProblem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告警描述</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string(128)</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Device.FaultMgmt.SupportedAlarm.{i}.PerceivedSeverity</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PerceivedSeverity</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支持告警级别</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设备上报告警消息中的告警级别：Critical,严重；Major,重要；Minor,次要；Warning,警告；</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Device.FaultMgmt.SupportedAlarm.{i}.ReportingMechanism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ReportingMechanism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 告警上报机制</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Device.FaultMgmt.CurrentAlarm.{i}.AlarmIdentifier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AlarmIdentifier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该告警的唯一序列号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Device.FaultMgmt.CurrentAlarm.{i}.SerialNumber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Device.FaultMgmt.CurrentAlarm.{i}.OUI</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OUI</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设备OUI</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Device.FaultMgmt.CurrentAlarm.{i}.AlarmRaisedTime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AlarmRaisedTime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告警发生时间</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dateTime</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Device.FaultMgmt.CurrentAlarm.{i}.AlarmChangedTime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AlarmChangedTime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告警改变时间</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dateTime</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Device.FaultMgmt.CurrentAlarm.{i}.FaultLocation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FaultLocation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告警源定位信息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hint="eastAsia" w:ascii="宋体" w:hAnsi="宋体" w:cs="宋体"/>
                <w:kern w:val="0"/>
                <w:sz w:val="18"/>
                <w:szCs w:val="18"/>
              </w:rPr>
              <w:t>表示故障源对应的资源对象信息，通常用管理对象实例（MOI）的DN表示</w:t>
            </w:r>
          </w:p>
        </w:tc>
      </w:tr>
      <w:tr>
        <w:tblPrEx>
          <w:tblCellMar>
            <w:top w:w="0" w:type="dxa"/>
            <w:left w:w="108" w:type="dxa"/>
            <w:bottom w:w="0" w:type="dxa"/>
            <w:right w:w="108" w:type="dxa"/>
          </w:tblCellMar>
        </w:tblPrEx>
        <w:trPr>
          <w:trHeight w:val="450"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Device.FaultMgmt.CurrentAlarm.{i}.ManagedObjectInstance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ManagedObjectInstance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管理对象实例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定义了承载该对象实例DN时发生的基站告警的信息对象等级的实例</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Device.FaultMgmt.CurrentAlarm.{i}.EventType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设备上报告警消息中的告警类型，包括通讯告警、环境告警、设备告警、处理错误告警、服务质量告警等</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Device.FaultMgmt.CurrentAlarm.{i}.ProbableCause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ProbableCause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告警原因</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Device.FaultMgmt.CurrentAlarm.{i}.SpecificProblem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SpecificProblem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告警描述</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string(128)</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Device.FaultMgmt.CurrentAlarm.{i}.PerceivedSeverity</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PerceivedSeverity</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当前告警级别</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设备上报告警消息中的告警级别：Critical,严重；Major,重要；Minor,次要；Warning,警告；</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Device.FaultMgmt.CurrentAlarm.{i}.AdditionalText</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AdditionalText</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告警附加文本</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本规范规定内容为厂家告警编码</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Device.FaultMgmt.CurrentAlarm.{i}.AdditionalInformation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AdditionalInformation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（格式：英文）统一采用此参数作为告警附加信息，映射到北向的AlarmText字段</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Device.FaultMgmt.HistoryEvent.{i}.SerialNumber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Device.FaultMgmt.HistoryEvent.{i}.OUI</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OUI</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设备OUI</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Device.FaultMgmt.HistoryEvent.{i}.EventTime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EventTime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告警发生、改变、清除的时间</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dateTime</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Device.FaultMgmt.HistoryEvent.{i}.AlarmIdentifier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AlarmIdentifier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该告警的唯一序列号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Device.FaultMgmt.HistoryEvent.{i}.NotificationType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NotificationType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通知类型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Device.FaultMgmt.</w:t>
            </w:r>
            <w:r>
              <w:rPr>
                <w:rFonts w:hint="eastAsia" w:ascii="宋体" w:hAnsi="宋体" w:cs="宋体"/>
                <w:kern w:val="0"/>
                <w:sz w:val="18"/>
                <w:szCs w:val="18"/>
              </w:rPr>
              <w:t>HistoryEvent</w:t>
            </w:r>
            <w:r>
              <w:rPr>
                <w:rFonts w:ascii="宋体" w:hAnsi="宋体" w:cs="宋体"/>
                <w:kern w:val="0"/>
                <w:sz w:val="18"/>
                <w:szCs w:val="18"/>
              </w:rPr>
              <w:t>.{i}.FaultLocation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FaultLocation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告警源定位信息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hint="eastAsia" w:ascii="宋体" w:hAnsi="宋体" w:cs="宋体"/>
                <w:kern w:val="0"/>
                <w:sz w:val="18"/>
                <w:szCs w:val="18"/>
              </w:rPr>
              <w:t>表示故障源对应的资源对象信息，通常用管理对象实例（MOI）的DN表示</w:t>
            </w:r>
          </w:p>
        </w:tc>
      </w:tr>
      <w:tr>
        <w:tblPrEx>
          <w:tblCellMar>
            <w:top w:w="0" w:type="dxa"/>
            <w:left w:w="108" w:type="dxa"/>
            <w:bottom w:w="0" w:type="dxa"/>
            <w:right w:w="108" w:type="dxa"/>
          </w:tblCellMar>
        </w:tblPrEx>
        <w:trPr>
          <w:trHeight w:val="450"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Device.FaultMgmt.HistoryEvent.{i}.ManagedObjectInstance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ManagedObjectInstance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管理对象实例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定义了承载该对象实例DN时发生的基站告警的信息对象等级的实例</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Device.FaultMgmt.HistoryEvent.{i}.EventType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设备上报告警消息中的告警类型，包括通讯告警、环境告警、设备告警、处理错误告警、服务质量告警等</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Device.FaultMgmt.HistoryEvent.{i}.ProbableCause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ProbableCause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告警原因</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Device.FaultMgmt.HistoryEvent.{i}.SpecificProblem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SpecificProblem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告警描述</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string(128)</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Device.FaultMgmt.HistoryEvent.{i}.PerceivedSeverity</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PerceivedSeverity</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告警级别</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设备上报告警消息中的告警级别：Critical,严重；Major,重要；Minor,次要；Warning,警告；</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Device.FaultMgmt.HistoryEvent.{i}.AdditionalText</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AdditionalText</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告警附加文本</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本规范规定内容为厂家告警编码</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Device.FaultMgmt.HistoryEvent.{i}.AdditionalInformation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AdditionalInformation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格式：英文。统一采用此参数作为告警附加信息，映射到北向的AlarmText字段</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Device.FaultMgmt.ExpeditedEvent.{i}.SerialNumber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Device.FaultMgmt.ExpeditedEvent.{i}.OUI</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OUI</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设备OUI</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Device.FaultMgmt.ExpeditedEvent.{i}.EventTime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EventTime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告警发生、改变、清除的时间</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dateTime</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Device.FaultMgmt.ExpeditedEvent.{i}.AlarmIdentifier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AlarmIdentifier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该告警的唯一序列号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Device.FaultMgmt.ExpeditedEvent.{i}.NotificationType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NotificationType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通知类型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Device.FaultMgmt.</w:t>
            </w:r>
            <w:r>
              <w:rPr>
                <w:rFonts w:hint="eastAsia" w:ascii="宋体" w:hAnsi="宋体" w:cs="宋体"/>
                <w:kern w:val="0"/>
                <w:sz w:val="18"/>
                <w:szCs w:val="18"/>
              </w:rPr>
              <w:t>ExpeditedEvent</w:t>
            </w:r>
            <w:r>
              <w:rPr>
                <w:rFonts w:ascii="宋体" w:hAnsi="宋体" w:cs="宋体"/>
                <w:kern w:val="0"/>
                <w:sz w:val="18"/>
                <w:szCs w:val="18"/>
              </w:rPr>
              <w:t>.{i}.FaultLocation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FaultLocation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告警源定位信息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hint="eastAsia" w:ascii="宋体" w:hAnsi="宋体" w:cs="宋体"/>
                <w:kern w:val="0"/>
                <w:sz w:val="18"/>
                <w:szCs w:val="18"/>
              </w:rPr>
              <w:t>表示故障源对应的资源对象信息，通常用管理对象实例（MOI）的DN表示</w:t>
            </w:r>
          </w:p>
        </w:tc>
      </w:tr>
      <w:tr>
        <w:tblPrEx>
          <w:tblCellMar>
            <w:top w:w="0" w:type="dxa"/>
            <w:left w:w="108" w:type="dxa"/>
            <w:bottom w:w="0" w:type="dxa"/>
            <w:right w:w="108" w:type="dxa"/>
          </w:tblCellMar>
        </w:tblPrEx>
        <w:trPr>
          <w:trHeight w:val="450"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Device.FaultMgmt.ExpeditedEvent.{i}.ManagedObjectInstance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ManagedObjectInstance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管理对象实例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定义了承载该对象实例DN时发生的基站告警的信息对象等级的实例</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Device.FaultMgmt.ExpeditedEvent.{i}.EventType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设备上报告警消息中的告警类型，包括通讯告警、环境告警、设备告警、处理错误告警、服务质量告警等</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Device.FaultMgmt.ExpeditedEvent.{i}.ProbableCause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ProbableCause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告警原因</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Device.FaultMgmt.ExpeditedEvent.{i}.SpecificProblem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SpecificProblem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告警描述</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string(128)</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Device.FaultMgmt.ExpeditedEvent.{i}.PerceivedSeverity</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PerceivedSeverity</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告警级别</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设备上报告警消息中的告警级别：Critical,严重；Major,重要；Minor,次要；Warning,警告；</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Device.FaultMgmt.ExpeditedEvent.{i}.AdditionalText</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AdditionalText</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告警附加文本</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本规范规定内容为厂家告警编码</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Device.FaultMgmt.ExpeditedEvent.{i}.AdditionalInformation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AdditionalInformation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格式：英文。统一采用此参数作为告警附加信息，映射到北向的AlarmText字段</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Device.FaultMgmt.QueuedEvent.{i}.SerialNumber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SerialNumber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Device.FaultMgmt.QueuedEvent.{i}.OUI</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OUI</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OUI</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Device.FaultMgmt.QueuedEvent.{i}.EventTime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EventTime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告警发生、改变、清除的时间</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dateTime</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Device.FaultMgmt.QueuedEvent.{i}.AlarmIdentifier</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AlarmIdentifier</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该告警的唯一序列号</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Device.FaultMgmt.QueuedEvent.{i}.NotificationType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NotificationType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通知类型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Device.FaultMgmt.</w:t>
            </w:r>
            <w:r>
              <w:rPr>
                <w:rFonts w:hint="eastAsia" w:ascii="宋体" w:hAnsi="宋体" w:cs="宋体"/>
                <w:kern w:val="0"/>
                <w:sz w:val="18"/>
                <w:szCs w:val="18"/>
              </w:rPr>
              <w:t>QueuedEvent</w:t>
            </w:r>
            <w:r>
              <w:rPr>
                <w:rFonts w:ascii="宋体" w:hAnsi="宋体" w:cs="宋体"/>
                <w:kern w:val="0"/>
                <w:sz w:val="18"/>
                <w:szCs w:val="18"/>
              </w:rPr>
              <w:t>.{i}.FaultLocation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FaultLocation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告警源定位信息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kern w:val="0"/>
                <w:sz w:val="18"/>
                <w:szCs w:val="18"/>
                <w:lang w:val="en-US" w:eastAsia="zh-CN" w:bidi="ar-SA"/>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hint="eastAsia" w:ascii="宋体" w:hAnsi="宋体" w:eastAsia="宋体" w:cs="宋体"/>
                <w:kern w:val="0"/>
                <w:sz w:val="18"/>
                <w:szCs w:val="18"/>
                <w:lang w:val="en-US" w:eastAsia="zh-CN" w:bidi="ar-SA"/>
              </w:rPr>
            </w:pPr>
            <w:r>
              <w:rPr>
                <w:rFonts w:hint="eastAsia" w:ascii="宋体" w:hAnsi="宋体" w:cs="宋体"/>
                <w:kern w:val="0"/>
                <w:sz w:val="18"/>
                <w:szCs w:val="18"/>
              </w:rPr>
              <w:t>表示故障源对应的资源对象信息，通常用管理对象实例（MOI）的DN表示</w:t>
            </w:r>
          </w:p>
        </w:tc>
      </w:tr>
      <w:tr>
        <w:tblPrEx>
          <w:tblCellMar>
            <w:top w:w="0" w:type="dxa"/>
            <w:left w:w="108" w:type="dxa"/>
            <w:bottom w:w="0" w:type="dxa"/>
            <w:right w:w="108" w:type="dxa"/>
          </w:tblCellMar>
        </w:tblPrEx>
        <w:trPr>
          <w:trHeight w:val="450"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Device.FaultMgmt.QueuedEvent.{i}.ManagedObjectInstance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ManagedObjectInstance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管理对象实例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string(512)</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定义了承载该对象实例DN时发生的基站告警的信息对象等级的实例</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Device.FaultMgmt.QueuedEvent.{i}.EventType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EventType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告警类型</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设备上报告警消息中的告警类型，包括通讯告警、环境告警、设备告警、处理错误告警、服务质量告警等</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Device.FaultMgmt.QueuedEvent.{i}.ProbableCause</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ProbableCause</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告警原因</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string(64)</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Device.FaultMgmt.QueuedEvent.{i}.SpecificProblem</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SpecificProblem</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告警描述</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string(128)</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Device.FaultMgmt.QueuedEvent.{i}.PerceivedSeverity</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PerceivedSeverity</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告警级别</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设备上报告警消息中的告警级别：Critical,严重；Major,重要；Minor,次要；Warning,警告；</w:t>
            </w:r>
          </w:p>
        </w:tc>
      </w:tr>
      <w:tr>
        <w:tblPrEx>
          <w:tblCellMar>
            <w:top w:w="0" w:type="dxa"/>
            <w:left w:w="108" w:type="dxa"/>
            <w:bottom w:w="0" w:type="dxa"/>
            <w:right w:w="108" w:type="dxa"/>
          </w:tblCellMar>
        </w:tblPrEx>
        <w:trPr>
          <w:trHeight w:val="22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Device.FaultMgmt.QueuedEvent.{i}.AdditionalText</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AdditionalText</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告警附加文本</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本规范规定内容为厂家告警编码</w:t>
            </w:r>
          </w:p>
        </w:tc>
      </w:tr>
      <w:tr>
        <w:tblPrEx>
          <w:tblCellMar>
            <w:top w:w="0" w:type="dxa"/>
            <w:left w:w="108" w:type="dxa"/>
            <w:bottom w:w="0" w:type="dxa"/>
            <w:right w:w="108" w:type="dxa"/>
          </w:tblCellMar>
        </w:tblPrEx>
        <w:trPr>
          <w:trHeight w:val="675" w:hRule="atLeast"/>
        </w:trPr>
        <w:tc>
          <w:tcPr>
            <w:tcW w:w="5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11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Device.FaultMgmt.QueuedEvent.{i}.AdditionalInformation</w:t>
            </w:r>
          </w:p>
        </w:tc>
        <w:tc>
          <w:tcPr>
            <w:tcW w:w="184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AdditionalInformation</w:t>
            </w:r>
          </w:p>
        </w:tc>
        <w:tc>
          <w:tcPr>
            <w:tcW w:w="1239"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告警附加信息</w:t>
            </w:r>
          </w:p>
        </w:tc>
        <w:tc>
          <w:tcPr>
            <w:tcW w:w="52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18"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206"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string(256)</w:t>
            </w:r>
          </w:p>
        </w:tc>
        <w:tc>
          <w:tcPr>
            <w:tcW w:w="2739"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格式：英文。统一采用此参数作为告警附加信息，映射到北向的AlarmText字段</w:t>
            </w:r>
          </w:p>
        </w:tc>
      </w:tr>
    </w:tbl>
    <w:p>
      <w:pPr>
        <w:pStyle w:val="3"/>
        <w:spacing w:line="360" w:lineRule="auto"/>
        <w:ind w:firstLine="420"/>
        <w:rPr>
          <w:rFonts w:ascii="黑体" w:hAnsi="黑体" w:eastAsia="黑体"/>
          <w:sz w:val="21"/>
          <w:szCs w:val="21"/>
        </w:rPr>
      </w:pPr>
    </w:p>
    <w:p>
      <w:pPr>
        <w:pStyle w:val="4"/>
        <w:rPr>
          <w:rFonts w:ascii="黑体" w:hAnsi="黑体" w:eastAsia="黑体"/>
          <w:b w:val="0"/>
          <w:bCs w:val="0"/>
          <w:sz w:val="21"/>
          <w:szCs w:val="21"/>
        </w:rPr>
      </w:pPr>
      <w:bookmarkStart w:id="21" w:name="_Toc89684810"/>
      <w:r>
        <w:rPr>
          <w:rFonts w:hint="eastAsia" w:ascii="黑体" w:hAnsi="黑体" w:eastAsia="黑体"/>
          <w:b w:val="0"/>
          <w:bCs w:val="0"/>
          <w:sz w:val="21"/>
          <w:szCs w:val="21"/>
        </w:rPr>
        <w:t>日志参数</w:t>
      </w:r>
      <w:bookmarkEnd w:id="21"/>
    </w:p>
    <w:p>
      <w:pPr>
        <w:jc w:val="center"/>
      </w:pPr>
      <w:r>
        <w:rPr>
          <w:rFonts w:hint="eastAsia"/>
        </w:rPr>
        <w:t>表6：日志参数</w:t>
      </w:r>
    </w:p>
    <w:tbl>
      <w:tblPr>
        <w:tblStyle w:val="22"/>
        <w:tblW w:w="14214" w:type="dxa"/>
        <w:tblInd w:w="103" w:type="dxa"/>
        <w:tblLayout w:type="fixed"/>
        <w:tblCellMar>
          <w:top w:w="0" w:type="dxa"/>
          <w:left w:w="108" w:type="dxa"/>
          <w:bottom w:w="0" w:type="dxa"/>
          <w:right w:w="108" w:type="dxa"/>
        </w:tblCellMar>
      </w:tblPr>
      <w:tblGrid>
        <w:gridCol w:w="572"/>
        <w:gridCol w:w="3546"/>
        <w:gridCol w:w="1732"/>
        <w:gridCol w:w="1134"/>
        <w:gridCol w:w="709"/>
        <w:gridCol w:w="977"/>
        <w:gridCol w:w="1575"/>
        <w:gridCol w:w="3969"/>
      </w:tblGrid>
      <w:tr>
        <w:tblPrEx>
          <w:tblCellMar>
            <w:top w:w="0" w:type="dxa"/>
            <w:left w:w="108" w:type="dxa"/>
            <w:bottom w:w="0" w:type="dxa"/>
            <w:right w:w="108" w:type="dxa"/>
          </w:tblCellMar>
        </w:tblPrEx>
        <w:trPr>
          <w:trHeight w:val="495" w:hRule="atLeast"/>
        </w:trPr>
        <w:tc>
          <w:tcPr>
            <w:tcW w:w="572"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354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732"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97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57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396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900" w:hRule="atLeast"/>
        </w:trPr>
        <w:tc>
          <w:tcPr>
            <w:tcW w:w="572"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日志参数管理</w:t>
            </w: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Device.LogMgmt.PeriodicUploadEnable</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PeriodicUploadEnable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日志周期上传使能开关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9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(0=false,1=true),禁止或启用将设备日志周期性地发送到指定的文件服务器。在使能开关开启的情况下，如果还未达到上报周期，设备日志文件已达到存储容量上限，则应立即将该时段的增量日志上报到HeMS，并开启一个新的上报周期的要求。</w:t>
            </w:r>
          </w:p>
        </w:tc>
      </w:tr>
      <w:tr>
        <w:trPr>
          <w:trHeight w:val="450" w:hRule="atLeast"/>
        </w:trPr>
        <w:tc>
          <w:tcPr>
            <w:tcW w:w="572"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Device.LogMgmt.URL</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URL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日志上传URL</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指定了目的日志的位置，没有以任何方式指明需要上传的本地文件的名字和位置</w:t>
            </w:r>
          </w:p>
        </w:tc>
      </w:tr>
      <w:tr>
        <w:trPr>
          <w:trHeight w:val="450" w:hRule="atLeast"/>
        </w:trPr>
        <w:tc>
          <w:tcPr>
            <w:tcW w:w="572"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Device.LogMgmt.Username</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Username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日志管理用户名</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用户名用于设备到日志服务器的鉴权，如果不需要鉴权，此字符串为空，当PeriodicUploadEnable=true时，才生效。</w:t>
            </w:r>
          </w:p>
        </w:tc>
      </w:tr>
      <w:tr>
        <w:tblPrEx>
          <w:tblCellMar>
            <w:top w:w="0" w:type="dxa"/>
            <w:left w:w="108" w:type="dxa"/>
            <w:bottom w:w="0" w:type="dxa"/>
            <w:right w:w="108" w:type="dxa"/>
          </w:tblCellMar>
        </w:tblPrEx>
        <w:trPr>
          <w:trHeight w:val="900" w:hRule="atLeast"/>
        </w:trPr>
        <w:tc>
          <w:tcPr>
            <w:tcW w:w="572"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Device.LogMgmt.Password</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Password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日志管理密码</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9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密码用于设备到日志服务器的鉴权，如果不需要鉴权，此字符串为空</w:t>
            </w:r>
            <w:r>
              <w:rPr>
                <w:rFonts w:hint="eastAsia" w:ascii="宋体" w:hAnsi="宋体" w:cs="宋体"/>
                <w:kern w:val="0"/>
                <w:sz w:val="18"/>
                <w:szCs w:val="18"/>
              </w:rPr>
              <w:br w:type="textWrapping"/>
            </w:r>
            <w:r>
              <w:rPr>
                <w:rFonts w:hint="eastAsia" w:ascii="宋体" w:hAnsi="宋体" w:cs="宋体"/>
                <w:kern w:val="0"/>
                <w:sz w:val="18"/>
                <w:szCs w:val="18"/>
              </w:rPr>
              <w:t>当为读时，该参数返回一个空字符串，而不是一个实际的值，当PeriodicUploadEnable=true时，才生效。</w:t>
            </w:r>
          </w:p>
        </w:tc>
      </w:tr>
      <w:tr>
        <w:tblPrEx>
          <w:tblCellMar>
            <w:top w:w="0" w:type="dxa"/>
            <w:left w:w="108" w:type="dxa"/>
            <w:bottom w:w="0" w:type="dxa"/>
            <w:right w:w="108" w:type="dxa"/>
          </w:tblCellMar>
        </w:tblPrEx>
        <w:trPr>
          <w:trHeight w:val="270" w:hRule="atLeast"/>
        </w:trPr>
        <w:tc>
          <w:tcPr>
            <w:tcW w:w="572"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Device.LogMgmt.PeriodicUploadInterval</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PeriodicUploadInterval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日志周期上传时间间隔</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unsignedInt[1:65535]</w:t>
            </w:r>
          </w:p>
        </w:tc>
        <w:tc>
          <w:tcPr>
            <w:tcW w:w="396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(300,600,900,1800,3600)</w:t>
            </w:r>
          </w:p>
        </w:tc>
      </w:tr>
      <w:tr>
        <w:tblPrEx>
          <w:tblCellMar>
            <w:top w:w="0" w:type="dxa"/>
            <w:left w:w="108" w:type="dxa"/>
            <w:bottom w:w="0" w:type="dxa"/>
            <w:right w:w="108" w:type="dxa"/>
          </w:tblCellMar>
        </w:tblPrEx>
        <w:trPr>
          <w:trHeight w:val="450" w:hRule="atLeast"/>
        </w:trPr>
        <w:tc>
          <w:tcPr>
            <w:tcW w:w="572"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354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Device.LogMgmt.LogLevel</w:t>
            </w:r>
          </w:p>
        </w:tc>
        <w:tc>
          <w:tcPr>
            <w:tcW w:w="173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LogLevel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日志重要等级</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97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7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396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日志重要等级：</w:t>
            </w:r>
            <w:r>
              <w:rPr>
                <w:rFonts w:hint="eastAsia" w:ascii="宋体" w:hAnsi="宋体" w:cs="宋体"/>
                <w:kern w:val="0"/>
                <w:sz w:val="18"/>
                <w:szCs w:val="18"/>
              </w:rPr>
              <w:br w:type="textWrapping"/>
            </w:r>
            <w:r>
              <w:rPr>
                <w:rFonts w:hint="eastAsia" w:ascii="宋体" w:hAnsi="宋体" w:cs="宋体"/>
                <w:kern w:val="0"/>
                <w:sz w:val="18"/>
                <w:szCs w:val="18"/>
              </w:rPr>
              <w:t>Enumerate{ASSERT_LOG;ERROR;WARN;INFO;DEBUG;VERBOSE}</w:t>
            </w:r>
          </w:p>
        </w:tc>
      </w:tr>
    </w:tbl>
    <w:p>
      <w:pPr>
        <w:pStyle w:val="3"/>
        <w:spacing w:line="360" w:lineRule="auto"/>
        <w:ind w:firstLine="420"/>
        <w:rPr>
          <w:rFonts w:ascii="黑体" w:hAnsi="黑体" w:eastAsia="黑体"/>
          <w:sz w:val="21"/>
          <w:szCs w:val="21"/>
        </w:rPr>
      </w:pPr>
    </w:p>
    <w:p>
      <w:pPr>
        <w:pStyle w:val="4"/>
        <w:rPr>
          <w:rFonts w:ascii="黑体" w:hAnsi="黑体" w:eastAsia="黑体"/>
          <w:b w:val="0"/>
          <w:bCs w:val="0"/>
          <w:sz w:val="21"/>
          <w:szCs w:val="21"/>
        </w:rPr>
      </w:pPr>
      <w:bookmarkStart w:id="22" w:name="_Toc89684811"/>
      <w:r>
        <w:rPr>
          <w:rFonts w:hint="eastAsia" w:ascii="黑体" w:hAnsi="黑体" w:eastAsia="黑体"/>
          <w:b w:val="0"/>
          <w:bCs w:val="0"/>
          <w:sz w:val="21"/>
          <w:szCs w:val="21"/>
        </w:rPr>
        <w:t>基站配置参数</w:t>
      </w:r>
      <w:bookmarkEnd w:id="22"/>
    </w:p>
    <w:p>
      <w:pPr>
        <w:jc w:val="center"/>
      </w:pPr>
      <w:r>
        <w:rPr>
          <w:rFonts w:hint="eastAsia"/>
        </w:rPr>
        <w:t>表7：基站配置参数</w:t>
      </w:r>
    </w:p>
    <w:tbl>
      <w:tblPr>
        <w:tblStyle w:val="22"/>
        <w:tblW w:w="14180" w:type="dxa"/>
        <w:tblInd w:w="103" w:type="dxa"/>
        <w:tblLayout w:type="fixed"/>
        <w:tblCellMar>
          <w:top w:w="0" w:type="dxa"/>
          <w:left w:w="108" w:type="dxa"/>
          <w:bottom w:w="0" w:type="dxa"/>
          <w:right w:w="108" w:type="dxa"/>
        </w:tblCellMar>
      </w:tblPr>
      <w:tblGrid>
        <w:gridCol w:w="994"/>
        <w:gridCol w:w="4823"/>
        <w:gridCol w:w="1133"/>
        <w:gridCol w:w="1277"/>
        <w:gridCol w:w="498"/>
        <w:gridCol w:w="778"/>
        <w:gridCol w:w="1133"/>
        <w:gridCol w:w="3544"/>
      </w:tblGrid>
      <w:tr>
        <w:tblPrEx>
          <w:tblCellMar>
            <w:top w:w="0" w:type="dxa"/>
            <w:left w:w="108" w:type="dxa"/>
            <w:bottom w:w="0" w:type="dxa"/>
            <w:right w:w="108" w:type="dxa"/>
          </w:tblCellMar>
        </w:tblPrEx>
        <w:trPr>
          <w:trHeight w:val="259" w:hRule="atLeast"/>
        </w:trPr>
        <w:tc>
          <w:tcPr>
            <w:tcW w:w="994"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4823"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133"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27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498"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778"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133"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354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59" w:hRule="atLeast"/>
        </w:trPr>
        <w:tc>
          <w:tcPr>
            <w:tcW w:w="994"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AMF地址</w:t>
            </w: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.{i}.AmfName</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AMFName</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AMFName</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string(150)</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.{i}.PLMNID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PLMNID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AMFPLMN标识</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.{i}.GUAMI.{i}.AmfRegionID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AMFRegionID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AMFRegionID</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string(8)</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.{i}.GUAMI.{i}.AmfSetID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AMFSetID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AMFSetID</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string(10)</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.{i}.GUAMI.{i}.AmfPointer</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AMFPointer</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AMFPointer</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.{i}.RelativeAmfCapacity</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RelativeAMFCapacity</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RelativeAMFCapacity</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unsignedInt[0:255]</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.{i}.AmfIP1Version</w:t>
            </w:r>
          </w:p>
        </w:tc>
        <w:tc>
          <w:tcPr>
            <w:tcW w:w="1133"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AMFIP1Version</w:t>
            </w:r>
          </w:p>
        </w:tc>
        <w:tc>
          <w:tcPr>
            <w:tcW w:w="12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 IP1版本</w:t>
            </w:r>
          </w:p>
        </w:tc>
        <w:tc>
          <w:tcPr>
            <w:tcW w:w="498"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000000"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354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AMF IP1的IP版本：</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 IPV4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 IPV6</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.{i}.AmfIP2Version</w:t>
            </w:r>
          </w:p>
        </w:tc>
        <w:tc>
          <w:tcPr>
            <w:tcW w:w="1133"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AMFIP2Version</w:t>
            </w:r>
          </w:p>
        </w:tc>
        <w:tc>
          <w:tcPr>
            <w:tcW w:w="12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 IP2版本</w:t>
            </w:r>
          </w:p>
        </w:tc>
        <w:tc>
          <w:tcPr>
            <w:tcW w:w="498"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000000"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3544"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AMF IP2的IP版本：</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 IPV4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 IPV6</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.{i}.AmfIP1</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AMFIP1</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AMFIP1</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.{i}.AmfIP2</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AMFIP2</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AMFIP2</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核心网相关参数</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.{i}.AmfPort</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AMFPort</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AMFPort</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unsignedInt[0:63999]</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.{i}.N26Enable</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N26Enable</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N26接口使能开关</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N26接口使能开关</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(0=disable,1=enable)</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w:t>
            </w:r>
            <w:r>
              <w:rPr>
                <w:rFonts w:hint="eastAsia" w:ascii="宋体" w:hAnsi="宋体" w:cs="宋体"/>
                <w:color w:val="000000"/>
                <w:kern w:val="0"/>
                <w:sz w:val="18"/>
                <w:szCs w:val="18"/>
                <w:lang w:eastAsia="zh-CN"/>
              </w:rPr>
              <w:t>AMFPoolConfigParam</w:t>
            </w:r>
            <w:r>
              <w:rPr>
                <w:rFonts w:hint="eastAsia" w:ascii="宋体" w:hAnsi="宋体" w:cs="宋体"/>
                <w:color w:val="000000"/>
                <w:kern w:val="0"/>
                <w:sz w:val="18"/>
                <w:szCs w:val="18"/>
              </w:rPr>
              <w:t>.{i}.DefaultAmfEnable</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DefaultAmfEnable</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默认AMF使能开关</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354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默认AMF使能开关</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(0=disable,2=enable)</w:t>
            </w:r>
          </w:p>
        </w:tc>
      </w:tr>
      <w:tr>
        <w:tblPrEx>
          <w:tblCellMar>
            <w:top w:w="0" w:type="dxa"/>
            <w:left w:w="108" w:type="dxa"/>
            <w:bottom w:w="0" w:type="dxa"/>
            <w:right w:w="108" w:type="dxa"/>
          </w:tblCellMar>
        </w:tblPrEx>
        <w:trPr>
          <w:trHeight w:val="259" w:hRule="atLeast"/>
        </w:trPr>
        <w:tc>
          <w:tcPr>
            <w:tcW w:w="994" w:type="dxa"/>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Xn连接地址</w:t>
            </w: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Device.Services.FAPService.{i}.FAPControl.NR.XnIpAddrMapInfo.{i}.PLMNID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PLMNID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PLMNID</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Device.Services.FAPService.{i}.FAPControl.NR.XnIpAddrMapInfo.{i}.gNBID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gNBID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gNBID</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Device.Services.FAPService.{i}.FAPControl.NR.XnIpAddrMapInfo.{i}.RemoteAddress</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RemoteAddress</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对端IP</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Device.Services.FAPService.{i}.FAPControl.NR.XnIpAddrMapInfo.{i}.SubnetMask</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SubnetMask</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子网掩码</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Device.Services.FAPService.{i}.FAPControl.NR.XnIpAddrMapInfo.{i}.LocalAddress</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LocalAddress</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本端地址</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59" w:hRule="atLeast"/>
        </w:trPr>
        <w:tc>
          <w:tcPr>
            <w:tcW w:w="99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4823"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Device.Services.FAPService.{i}.FAPControl.NR.XnIpAddrMapInfo.{i}.gNBIdLength</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gNBIdLength</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gNBIdLength</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unsignedInt[22:32</w:t>
            </w:r>
            <w:r>
              <w:rPr>
                <w:kern w:val="0"/>
                <w:sz w:val="18"/>
                <w:szCs w:val="18"/>
              </w:rPr>
              <w:t>‬</w:t>
            </w:r>
            <w:r>
              <w:rPr>
                <w:rFonts w:hint="eastAsia" w:ascii="宋体" w:hAnsi="宋体" w:cs="宋体"/>
                <w:kern w:val="0"/>
                <w:sz w:val="18"/>
                <w:szCs w:val="18"/>
              </w:rPr>
              <w:t>]</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gNB标识长度</w:t>
            </w:r>
          </w:p>
        </w:tc>
      </w:tr>
      <w:tr>
        <w:tblPrEx>
          <w:tblCellMar>
            <w:top w:w="0" w:type="dxa"/>
            <w:left w:w="108" w:type="dxa"/>
            <w:bottom w:w="0" w:type="dxa"/>
            <w:right w:w="108" w:type="dxa"/>
          </w:tblCellMar>
        </w:tblPrEx>
        <w:trPr>
          <w:trHeight w:val="259" w:hRule="atLeast"/>
        </w:trPr>
        <w:tc>
          <w:tcPr>
            <w:tcW w:w="99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微软雅黑" w:hAnsi="微软雅黑" w:eastAsia="微软雅黑" w:cs="宋体"/>
                <w:b/>
                <w:bCs/>
                <w:kern w:val="0"/>
                <w:sz w:val="18"/>
                <w:szCs w:val="18"/>
              </w:rPr>
            </w:pPr>
            <w:r>
              <w:rPr>
                <w:rFonts w:hint="eastAsia" w:ascii="微软雅黑" w:hAnsi="微软雅黑" w:eastAsia="微软雅黑" w:cs="宋体"/>
                <w:b/>
                <w:bCs/>
                <w:kern w:val="0"/>
                <w:sz w:val="18"/>
                <w:szCs w:val="18"/>
              </w:rPr>
              <w:t>基站标识参数</w:t>
            </w:r>
          </w:p>
        </w:tc>
        <w:tc>
          <w:tcPr>
            <w:tcW w:w="4823"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Device.Services.FAPService.{i}.FAPControl.NR.RAN.Common.gNBId</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gNBId</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gNB标识</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unsignedInt[0:4294967295</w:t>
            </w:r>
            <w:r>
              <w:rPr>
                <w:rFonts w:hint="eastAsia" w:ascii="MS Mincho" w:hAnsi="MS Mincho" w:eastAsia="MS Mincho" w:cs="MS Mincho"/>
                <w:kern w:val="0"/>
                <w:sz w:val="18"/>
                <w:szCs w:val="18"/>
              </w:rPr>
              <w:t>‬</w:t>
            </w:r>
            <w:r>
              <w:rPr>
                <w:rFonts w:hint="eastAsia" w:ascii="宋体" w:hAnsi="宋体" w:cs="宋体"/>
                <w:kern w:val="0"/>
                <w:sz w:val="18"/>
                <w:szCs w:val="18"/>
              </w:rPr>
              <w:t>]</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小区gNBiD(32bit)</w:t>
            </w:r>
          </w:p>
        </w:tc>
      </w:tr>
      <w:tr>
        <w:tblPrEx>
          <w:tblCellMar>
            <w:top w:w="0" w:type="dxa"/>
            <w:left w:w="108" w:type="dxa"/>
            <w:bottom w:w="0" w:type="dxa"/>
            <w:right w:w="108" w:type="dxa"/>
          </w:tblCellMar>
        </w:tblPrEx>
        <w:trPr>
          <w:trHeight w:val="259" w:hRule="atLeast"/>
        </w:trPr>
        <w:tc>
          <w:tcPr>
            <w:tcW w:w="99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4823"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Device.Services.FAPService.{i}.FAPControl.NR.RAN.Common.gNBName</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gNBName</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gNB名称</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string(150)</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gNB名称</w:t>
            </w:r>
          </w:p>
        </w:tc>
      </w:tr>
      <w:tr>
        <w:tblPrEx>
          <w:tblCellMar>
            <w:top w:w="0" w:type="dxa"/>
            <w:left w:w="108" w:type="dxa"/>
            <w:bottom w:w="0" w:type="dxa"/>
            <w:right w:w="108" w:type="dxa"/>
          </w:tblCellMar>
        </w:tblPrEx>
        <w:trPr>
          <w:trHeight w:val="259" w:hRule="atLeast"/>
        </w:trPr>
        <w:tc>
          <w:tcPr>
            <w:tcW w:w="99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4823"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Device.Services.FAPService.{i}.FAPControl.NR.RAN.Common.CellType</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CellType</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小区类型</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小区类型,Enumerate{SUB1G,SUB6G,ABOVE6G}</w:t>
            </w:r>
          </w:p>
        </w:tc>
      </w:tr>
      <w:tr>
        <w:tblPrEx>
          <w:tblCellMar>
            <w:top w:w="0" w:type="dxa"/>
            <w:left w:w="108" w:type="dxa"/>
            <w:bottom w:w="0" w:type="dxa"/>
            <w:right w:w="108" w:type="dxa"/>
          </w:tblCellMar>
        </w:tblPrEx>
        <w:trPr>
          <w:trHeight w:val="259" w:hRule="atLeast"/>
        </w:trPr>
        <w:tc>
          <w:tcPr>
            <w:tcW w:w="99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4823"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Device.Services.FAPService.{i}.FAPControl.NR.RAN.Common.gNBIdLength</w:t>
            </w:r>
          </w:p>
        </w:tc>
        <w:tc>
          <w:tcPr>
            <w:tcW w:w="113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gNBIdLength</w:t>
            </w:r>
          </w:p>
        </w:tc>
        <w:tc>
          <w:tcPr>
            <w:tcW w:w="12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gNB名长度</w:t>
            </w:r>
          </w:p>
        </w:tc>
        <w:tc>
          <w:tcPr>
            <w:tcW w:w="49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77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13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unsignedInt[22:32</w:t>
            </w:r>
            <w:r>
              <w:rPr>
                <w:kern w:val="0"/>
                <w:sz w:val="18"/>
                <w:szCs w:val="18"/>
              </w:rPr>
              <w:t>‬</w:t>
            </w:r>
            <w:r>
              <w:rPr>
                <w:rFonts w:hint="eastAsia" w:ascii="宋体" w:hAnsi="宋体" w:cs="宋体"/>
                <w:kern w:val="0"/>
                <w:sz w:val="18"/>
                <w:szCs w:val="18"/>
              </w:rPr>
              <w:t>]</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gNB长度</w:t>
            </w:r>
          </w:p>
        </w:tc>
      </w:tr>
    </w:tbl>
    <w:p>
      <w:pPr>
        <w:pStyle w:val="3"/>
        <w:spacing w:line="360" w:lineRule="auto"/>
        <w:ind w:firstLine="420"/>
        <w:rPr>
          <w:rFonts w:ascii="黑体" w:hAnsi="黑体" w:eastAsia="黑体"/>
          <w:sz w:val="21"/>
          <w:szCs w:val="21"/>
        </w:rPr>
      </w:pPr>
    </w:p>
    <w:p>
      <w:pPr>
        <w:pStyle w:val="4"/>
        <w:rPr>
          <w:rFonts w:ascii="黑体" w:hAnsi="黑体" w:eastAsia="黑体"/>
          <w:b w:val="0"/>
          <w:bCs w:val="0"/>
          <w:sz w:val="21"/>
          <w:szCs w:val="21"/>
        </w:rPr>
      </w:pPr>
      <w:bookmarkStart w:id="23" w:name="_Toc89684812"/>
      <w:r>
        <w:rPr>
          <w:rFonts w:hint="eastAsia" w:ascii="黑体" w:hAnsi="黑体" w:eastAsia="黑体"/>
          <w:b w:val="0"/>
          <w:bCs w:val="0"/>
          <w:sz w:val="21"/>
          <w:szCs w:val="21"/>
        </w:rPr>
        <w:t>基站能力参数</w:t>
      </w:r>
      <w:bookmarkEnd w:id="23"/>
    </w:p>
    <w:p>
      <w:pPr>
        <w:jc w:val="center"/>
      </w:pPr>
      <w:r>
        <w:rPr>
          <w:rFonts w:hint="eastAsia"/>
        </w:rPr>
        <w:t>表8：基站能力参数</w:t>
      </w:r>
    </w:p>
    <w:tbl>
      <w:tblPr>
        <w:tblStyle w:val="22"/>
        <w:tblW w:w="14456" w:type="dxa"/>
        <w:tblInd w:w="0" w:type="dxa"/>
        <w:tblLayout w:type="autofit"/>
        <w:tblCellMar>
          <w:top w:w="0" w:type="dxa"/>
          <w:left w:w="108" w:type="dxa"/>
          <w:bottom w:w="0" w:type="dxa"/>
          <w:right w:w="108" w:type="dxa"/>
        </w:tblCellMar>
      </w:tblPr>
      <w:tblGrid>
        <w:gridCol w:w="844"/>
        <w:gridCol w:w="5616"/>
        <w:gridCol w:w="1473"/>
        <w:gridCol w:w="1476"/>
        <w:gridCol w:w="704"/>
        <w:gridCol w:w="939"/>
        <w:gridCol w:w="1568"/>
        <w:gridCol w:w="1836"/>
      </w:tblGrid>
      <w:tr>
        <w:tblPrEx>
          <w:tblCellMar>
            <w:top w:w="0" w:type="dxa"/>
            <w:left w:w="108" w:type="dxa"/>
            <w:bottom w:w="0" w:type="dxa"/>
            <w:right w:w="108" w:type="dxa"/>
          </w:tblCellMar>
        </w:tblPrEx>
        <w:trPr>
          <w:trHeight w:val="555" w:hRule="atLeast"/>
        </w:trPr>
        <w:tc>
          <w:tcPr>
            <w:tcW w:w="844"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616"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473"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476"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4"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93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568"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836"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450" w:hRule="atLeast"/>
        </w:trPr>
        <w:tc>
          <w:tcPr>
            <w:tcW w:w="84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NNSF参数管理</w:t>
            </w:r>
          </w:p>
        </w:tc>
        <w:tc>
          <w:tcPr>
            <w:tcW w:w="56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Device.Services.FAPService.{i}.Capabilities.NR.NNSFSupported</w:t>
            </w:r>
          </w:p>
        </w:tc>
        <w:tc>
          <w:tcPr>
            <w:tcW w:w="147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NNSFSupported</w:t>
            </w:r>
          </w:p>
        </w:tc>
        <w:tc>
          <w:tcPr>
            <w:tcW w:w="14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负载均衡参数</w:t>
            </w:r>
          </w:p>
        </w:tc>
        <w:tc>
          <w:tcPr>
            <w:tcW w:w="70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93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56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183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(0=false,1=true)</w:t>
            </w:r>
          </w:p>
        </w:tc>
      </w:tr>
    </w:tbl>
    <w:p>
      <w:pPr>
        <w:pStyle w:val="4"/>
        <w:rPr>
          <w:rFonts w:ascii="黑体" w:hAnsi="黑体" w:eastAsia="黑体"/>
          <w:b w:val="0"/>
          <w:bCs w:val="0"/>
          <w:sz w:val="21"/>
          <w:szCs w:val="21"/>
        </w:rPr>
      </w:pPr>
      <w:bookmarkStart w:id="24" w:name="_Toc89684813"/>
      <w:r>
        <w:rPr>
          <w:rFonts w:hint="eastAsia" w:ascii="黑体" w:hAnsi="黑体" w:eastAsia="黑体"/>
          <w:b w:val="0"/>
          <w:bCs w:val="0"/>
          <w:sz w:val="21"/>
          <w:szCs w:val="21"/>
        </w:rPr>
        <w:t>小区服务能力参数</w:t>
      </w:r>
      <w:bookmarkEnd w:id="24"/>
    </w:p>
    <w:p>
      <w:pPr>
        <w:jc w:val="center"/>
      </w:pPr>
      <w:r>
        <w:rPr>
          <w:rFonts w:hint="eastAsia"/>
        </w:rPr>
        <w:t>表9：小区服务能力参数</w:t>
      </w:r>
    </w:p>
    <w:tbl>
      <w:tblPr>
        <w:tblStyle w:val="22"/>
        <w:tblW w:w="14454" w:type="dxa"/>
        <w:tblInd w:w="0" w:type="dxa"/>
        <w:tblLayout w:type="fixed"/>
        <w:tblCellMar>
          <w:top w:w="0" w:type="dxa"/>
          <w:left w:w="108" w:type="dxa"/>
          <w:bottom w:w="0" w:type="dxa"/>
          <w:right w:w="108" w:type="dxa"/>
        </w:tblCellMar>
      </w:tblPr>
      <w:tblGrid>
        <w:gridCol w:w="846"/>
        <w:gridCol w:w="5670"/>
        <w:gridCol w:w="1417"/>
        <w:gridCol w:w="1560"/>
        <w:gridCol w:w="708"/>
        <w:gridCol w:w="851"/>
        <w:gridCol w:w="1559"/>
        <w:gridCol w:w="1843"/>
      </w:tblGrid>
      <w:tr>
        <w:tblPrEx>
          <w:tblCellMar>
            <w:top w:w="0" w:type="dxa"/>
            <w:left w:w="108" w:type="dxa"/>
            <w:bottom w:w="0" w:type="dxa"/>
            <w:right w:w="108" w:type="dxa"/>
          </w:tblCellMar>
        </w:tblPrEx>
        <w:trPr>
          <w:trHeight w:val="585" w:hRule="atLeast"/>
        </w:trPr>
        <w:tc>
          <w:tcPr>
            <w:tcW w:w="846"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670"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417"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560"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8"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55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843"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450" w:hRule="atLeast"/>
        </w:trPr>
        <w:tc>
          <w:tcPr>
            <w:tcW w:w="846" w:type="dxa"/>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5GC参数管理</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Device.Services.FAPService.{i}.CellConfig.{i}.NR.5GC.EmergencyAreaID</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EmergencyAreaID</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EmergencyAreaID</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unsignedInt[0:7]</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突发事件区域ID(3bit)</w:t>
            </w:r>
          </w:p>
        </w:tc>
      </w:tr>
      <w:tr>
        <w:tblPrEx>
          <w:tblCellMar>
            <w:top w:w="0" w:type="dxa"/>
            <w:left w:w="108" w:type="dxa"/>
            <w:bottom w:w="0" w:type="dxa"/>
            <w:right w:w="108" w:type="dxa"/>
          </w:tblCellMar>
        </w:tblPrEx>
        <w:trPr>
          <w:trHeight w:val="240" w:hRule="atLeast"/>
        </w:trPr>
        <w:tc>
          <w:tcPr>
            <w:tcW w:w="84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小区闭塞</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Device.Services.FAPService.{i}.CellConfig.{i}.NR.RAN.CellRestriction.CellBarred</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CellBarred</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小区闭塞</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{0：notBarred，1：barred }</w:t>
            </w:r>
          </w:p>
        </w:tc>
      </w:tr>
      <w:tr>
        <w:tblPrEx>
          <w:tblCellMar>
            <w:top w:w="0" w:type="dxa"/>
            <w:left w:w="108" w:type="dxa"/>
            <w:bottom w:w="0" w:type="dxa"/>
            <w:right w:w="108" w:type="dxa"/>
          </w:tblCellMar>
        </w:tblPrEx>
        <w:trPr>
          <w:trHeight w:val="345" w:hRule="atLeast"/>
        </w:trPr>
        <w:tc>
          <w:tcPr>
            <w:tcW w:w="84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小区激活/去激活</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Device.Services.FAPService.{i}.CellConfig.{i}.NR.RAN.CellEnable.AdminState</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AdminState</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小区管理状态</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3"/>
                <w:szCs w:val="13"/>
              </w:rPr>
            </w:pPr>
            <w:r>
              <w:rPr>
                <w:rFonts w:hint="eastAsia" w:ascii="宋体" w:hAnsi="宋体" w:cs="宋体"/>
                <w:color w:val="000000"/>
                <w:kern w:val="0"/>
                <w:sz w:val="13"/>
                <w:szCs w:val="13"/>
              </w:rPr>
              <w:t>0:关闭 1:开启</w:t>
            </w:r>
          </w:p>
        </w:tc>
      </w:tr>
      <w:tr>
        <w:tblPrEx>
          <w:tblCellMar>
            <w:top w:w="0" w:type="dxa"/>
            <w:left w:w="108" w:type="dxa"/>
            <w:bottom w:w="0" w:type="dxa"/>
            <w:right w:w="108" w:type="dxa"/>
          </w:tblCellMar>
        </w:tblPrEx>
        <w:trPr>
          <w:trHeight w:val="675" w:hRule="atLeast"/>
        </w:trPr>
        <w:tc>
          <w:tcPr>
            <w:tcW w:w="84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广播参数管理</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Device.Services.FAPService.{i}.CellConfig.{i}.NR.5GC.PLMNList.{i}.CellReservedForOperatorUse</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CellReservedForOperatorUse</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小区预留标识</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供运营商使用的小区预留标志</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Device.Services.FAPService.{i}.CellConfig.{i}.NR.RAN.SysInfoCtrlParam.MultiBandInfoListSIB1</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MultiBandInfoListSIB1</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SIB1中多频段指示参数</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unsignedInt[1:1024]</w:t>
            </w:r>
          </w:p>
        </w:tc>
        <w:tc>
          <w:tcPr>
            <w:tcW w:w="1843"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3"/>
                <w:szCs w:val="13"/>
              </w:rPr>
            </w:pPr>
            <w:r>
              <w:rPr>
                <w:rFonts w:hint="eastAsia" w:ascii="宋体" w:hAnsi="宋体" w:cs="宋体"/>
                <w:kern w:val="0"/>
                <w:sz w:val="13"/>
                <w:szCs w:val="13"/>
              </w:rPr>
              <w:t>/</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Device.Services.FAPService.{i}.CellConfig.{i}.NR.RAN.SysInfoCtrlParam.IdleModeRATMobile.{i}.MultiBandInfoListSIB5</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MultiBandInfoListSIB5</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SIB5中多频段指示参数</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unsignedInt[1:64]</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w:t>
            </w:r>
          </w:p>
        </w:tc>
      </w:tr>
      <w:tr>
        <w:tblPrEx>
          <w:tblCellMar>
            <w:top w:w="0" w:type="dxa"/>
            <w:left w:w="108" w:type="dxa"/>
            <w:bottom w:w="0" w:type="dxa"/>
            <w:right w:w="108" w:type="dxa"/>
          </w:tblCellMar>
        </w:tblPrEx>
        <w:trPr>
          <w:trHeight w:val="240" w:hRule="atLeast"/>
        </w:trPr>
        <w:tc>
          <w:tcPr>
            <w:tcW w:w="84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小区参数管理</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Device.Services.FAPService.{i}.CellConfig.{i}.NR.RAN.RF.NRARFCNDL</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NRARFCNDL</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下行NRARFCN</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unsignedInt[0:3279165]</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下行EARFCN</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Device.Services.FAPService.{i}.CellConfig.{i}.NR.RAN.RF.PhyCellID</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PhyCellID</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PCI</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unsignedInt[0:1007]</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PCI</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Device.Services.FAPService.{i}.CellConfig.{i}.NR.RAN.RF.DLBandwidth</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DLBandwidth</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下行带宽</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unsignedInt[5,10,15,20,25,30,40,50,60,80,90,100,200,400]</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下行带宽</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Device.Services.FAPService.{i}.CellConfig.{i}.NR.RAN.RF.ULBandwidth</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ULBandwidth</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上行带宽</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unsignedInt[5,10,15,20,25,30,40,50,60,80,90,100,200,400]</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上行带宽</w:t>
            </w:r>
          </w:p>
        </w:tc>
      </w:tr>
      <w:tr>
        <w:tblPrEx>
          <w:tblCellMar>
            <w:top w:w="0" w:type="dxa"/>
            <w:left w:w="108" w:type="dxa"/>
            <w:bottom w:w="0" w:type="dxa"/>
            <w:right w:w="108" w:type="dxa"/>
          </w:tblCellMar>
        </w:tblPrEx>
        <w:trPr>
          <w:trHeight w:val="30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Device.Services.FAPService.{i}.CellConfig.{i}.NR.RAN.RF.PSCHPowerOffset</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PSCHPowerOffset</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PSCH功率偏置</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string(512)</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主同步信道相对SS/PBCH block 的功率偏置,取值范围{db0, db3}</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Device.Services.FAPService.{i}.CellConfig.{i}.NR.RAN.RF.NRARFCNUL</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NRARFCNUL</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上行NRARFCN</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unsignedInt[0:3279165]</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上行或双向E-UTRA载频</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Device.Services.FAPService.{i}.CellConfig.{i}.NR.RAN.RF.FreqBandIndicator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FreqBandIndicator</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频带指示</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unsignedInt[1:1024]</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频带指示</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Device.Services.FAPService.{i}.CellConfig.{i}.NR.RAN.RF.SsbFrequency</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SsbFrequency</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SSB中心频点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unsignedInt[0:3279165]</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SSB中心频点</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Device.Services.FAPService.{i}.CellConfig.{i}.NR.RAN.RF.SsPBCHBlockPower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SsPBCHBlockPower</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SSB Block功率值</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int[-60:50]</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SSB Block功率值</w:t>
            </w:r>
          </w:p>
        </w:tc>
      </w:tr>
      <w:tr>
        <w:tblPrEx>
          <w:tblCellMar>
            <w:top w:w="0" w:type="dxa"/>
            <w:left w:w="108" w:type="dxa"/>
            <w:bottom w:w="0" w:type="dxa"/>
            <w:right w:w="108" w:type="dxa"/>
          </w:tblCellMar>
        </w:tblPrEx>
        <w:trPr>
          <w:trHeight w:val="675" w:hRule="atLeast"/>
        </w:trPr>
        <w:tc>
          <w:tcPr>
            <w:tcW w:w="84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微软雅黑" w:hAnsi="微软雅黑" w:eastAsia="微软雅黑" w:cs="宋体"/>
                <w:b/>
                <w:bCs/>
                <w:kern w:val="0"/>
                <w:sz w:val="18"/>
                <w:szCs w:val="18"/>
              </w:rPr>
            </w:pPr>
            <w:r>
              <w:rPr>
                <w:rFonts w:hint="eastAsia" w:ascii="微软雅黑" w:hAnsi="微软雅黑" w:eastAsia="微软雅黑" w:cs="宋体"/>
                <w:b/>
                <w:bCs/>
                <w:kern w:val="0"/>
                <w:sz w:val="18"/>
                <w:szCs w:val="18"/>
              </w:rPr>
              <w:t>小区标识参数</w:t>
            </w: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CellReservedForOtherUse</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CellReservedForOtherUse</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小区预留标识总开关</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供运营商使用的小区预留标志</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TA.{i}.TAC</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TAC</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跟踪区编码</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unsignedInt[0:16777215]</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跟踪区代码，TAC(24bit)</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TA.{i}.Ranac</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Ranac</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RAN区域编码</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unsignedInt[0:255]</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取值范围unsignedInt[0:255],0x00000FFF，RAN区域编码，,0x00000FFF代表无效</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TA.{i}.NrcellIdentity</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NrcellIdentity</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小区cellIdentity</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rPr>
            </w:pPr>
            <w:r>
              <w:rPr>
                <w:rFonts w:ascii="宋体" w:hAnsi="宋体" w:cs="宋体"/>
                <w:kern w:val="0"/>
                <w:sz w:val="18"/>
                <w:szCs w:val="18"/>
              </w:rPr>
              <w:t>unsignedLong[0:</w:t>
            </w:r>
            <w:r>
              <w:rPr>
                <w:rFonts w:hint="eastAsia" w:ascii="宋体" w:hAnsi="宋体" w:cs="宋体"/>
                <w:kern w:val="0"/>
                <w:sz w:val="18"/>
                <w:szCs w:val="18"/>
                <w:lang w:val="en-US" w:eastAsia="zh-CN"/>
              </w:rPr>
              <w:t>]</w:t>
            </w:r>
            <w:bookmarkStart w:id="35" w:name="_GoBack"/>
            <w:bookmarkEnd w:id="35"/>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小区标识(36bit)</w:t>
            </w:r>
          </w:p>
        </w:tc>
      </w:tr>
      <w:tr>
        <w:tblPrEx>
          <w:tblCellMar>
            <w:top w:w="0" w:type="dxa"/>
            <w:left w:w="108" w:type="dxa"/>
            <w:bottom w:w="0" w:type="dxa"/>
            <w:right w:w="108" w:type="dxa"/>
          </w:tblCellMar>
        </w:tblPrEx>
        <w:trPr>
          <w:trHeight w:val="675"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TA.{i}.CellReservedForOperatorUse</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CellReservedForOperatorUse</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小区PLMN预留标识</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供运营商使用的小区预留标志,{0：notReserved，1：reserved}</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TA.{i}.PLMNList.{i}.PLMNID</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PLMNID</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小区PLMNID</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string(6)</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由MCC和MNC组成</w:t>
            </w:r>
          </w:p>
        </w:tc>
      </w:tr>
      <w:tr>
        <w:tblPrEx>
          <w:tblCellMar>
            <w:top w:w="0" w:type="dxa"/>
            <w:left w:w="108" w:type="dxa"/>
            <w:bottom w:w="0" w:type="dxa"/>
            <w:right w:w="108" w:type="dxa"/>
          </w:tblCellMar>
        </w:tblPrEx>
        <w:trPr>
          <w:trHeight w:val="685"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微软雅黑" w:hAnsi="微软雅黑" w:eastAsia="微软雅黑" w:cs="宋体"/>
                <w:b/>
                <w:bCs/>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w:t>
            </w:r>
            <w:r>
              <w:rPr>
                <w:rFonts w:hint="eastAsia" w:ascii="宋体" w:hAnsi="宋体" w:cs="宋体"/>
                <w:kern w:val="0"/>
                <w:sz w:val="18"/>
                <w:szCs w:val="18"/>
                <w:lang w:eastAsia="zh-CN"/>
              </w:rPr>
              <w:t>CN.</w:t>
            </w:r>
            <w:r>
              <w:rPr>
                <w:rFonts w:hint="eastAsia" w:ascii="宋体" w:hAnsi="宋体" w:cs="宋体"/>
                <w:kern w:val="0"/>
                <w:sz w:val="18"/>
                <w:szCs w:val="18"/>
              </w:rPr>
              <w:t>TA.{i}.PLMNList.{i}.SliceList.{i}.SNSSAI</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SNSSAI</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SNSSAI</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unsignedInt[0:4294967295</w:t>
            </w:r>
            <w:r>
              <w:rPr>
                <w:rFonts w:hint="eastAsia" w:ascii="MS Gothic" w:hAnsi="MS Gothic" w:eastAsia="MS Gothic" w:cs="MS Gothic"/>
                <w:kern w:val="0"/>
                <w:sz w:val="18"/>
                <w:szCs w:val="18"/>
              </w:rPr>
              <w:t>‬</w:t>
            </w:r>
            <w:r>
              <w:rPr>
                <w:rFonts w:hint="eastAsia" w:ascii="宋体" w:hAnsi="宋体" w:cs="宋体"/>
                <w:kern w:val="0"/>
                <w:sz w:val="18"/>
                <w:szCs w:val="18"/>
              </w:rPr>
              <w:t>]</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由SST和SD组成</w:t>
            </w:r>
          </w:p>
        </w:tc>
      </w:tr>
      <w:tr>
        <w:tblPrEx>
          <w:tblCellMar>
            <w:top w:w="0" w:type="dxa"/>
            <w:left w:w="108" w:type="dxa"/>
            <w:bottom w:w="0" w:type="dxa"/>
            <w:right w:w="108" w:type="dxa"/>
          </w:tblCellMar>
        </w:tblPrEx>
        <w:trPr>
          <w:trHeight w:val="450" w:hRule="atLeast"/>
        </w:trPr>
        <w:tc>
          <w:tcPr>
            <w:tcW w:w="84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VoNR参数</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Device.Services.FAPService.{i}.CellConfig.{i}.NR.VoNR.PdcpInitParam.{i}.RohcEn</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RohcEn</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分QCI头压缩功能开关</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（1:ON，0:OFF）,{i}取值范围[1,…,9]</w:t>
            </w:r>
          </w:p>
        </w:tc>
      </w:tr>
      <w:tr>
        <w:tblPrEx>
          <w:tblCellMar>
            <w:top w:w="0" w:type="dxa"/>
            <w:left w:w="108" w:type="dxa"/>
            <w:bottom w:w="0" w:type="dxa"/>
            <w:right w:w="108" w:type="dxa"/>
          </w:tblCellMar>
        </w:tblPrEx>
        <w:trPr>
          <w:trHeight w:val="450" w:hRule="atLeast"/>
        </w:trPr>
        <w:tc>
          <w:tcPr>
            <w:tcW w:w="84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Device.Services.FAPService.{i}.CellConfig.{i}.NR.VoNR.SPSSwitchQCI1Ul</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SPSSwitchQCI1Ul</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QCI1上行SPS功能开关</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843"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3"/>
                <w:szCs w:val="13"/>
              </w:rPr>
            </w:pPr>
            <w:r>
              <w:rPr>
                <w:rFonts w:hint="eastAsia" w:ascii="宋体" w:hAnsi="宋体" w:cs="宋体"/>
                <w:kern w:val="0"/>
                <w:sz w:val="13"/>
                <w:szCs w:val="13"/>
              </w:rPr>
              <w:t>（1:ON，0:OFF）</w:t>
            </w:r>
          </w:p>
        </w:tc>
      </w:tr>
      <w:tr>
        <w:tblPrEx>
          <w:tblCellMar>
            <w:top w:w="0" w:type="dxa"/>
            <w:left w:w="108" w:type="dxa"/>
            <w:bottom w:w="0" w:type="dxa"/>
            <w:right w:w="108" w:type="dxa"/>
          </w:tblCellMar>
        </w:tblPrEx>
        <w:trPr>
          <w:trHeight w:val="450" w:hRule="atLeast"/>
        </w:trPr>
        <w:tc>
          <w:tcPr>
            <w:tcW w:w="84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接入UE数量管理</w:t>
            </w:r>
          </w:p>
        </w:tc>
        <w:tc>
          <w:tcPr>
            <w:tcW w:w="5670"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Device.Services.FAPService.{i}.CellConfig.{i}.NR.Capabilities.UeInactiveTimer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UeInactiveTimer</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连接态UE不活动定时器</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unsignedInt[0:7200]</w:t>
            </w:r>
          </w:p>
        </w:tc>
        <w:tc>
          <w:tcPr>
            <w:tcW w:w="1843"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3"/>
                <w:szCs w:val="13"/>
              </w:rPr>
            </w:pPr>
            <w:r>
              <w:rPr>
                <w:rFonts w:hint="eastAsia" w:ascii="宋体" w:hAnsi="宋体" w:cs="宋体"/>
                <w:color w:val="000000"/>
                <w:kern w:val="0"/>
                <w:sz w:val="13"/>
                <w:szCs w:val="13"/>
              </w:rPr>
              <w:t>/</w:t>
            </w:r>
          </w:p>
        </w:tc>
      </w:tr>
      <w:tr>
        <w:tblPrEx>
          <w:tblCellMar>
            <w:top w:w="0" w:type="dxa"/>
            <w:left w:w="108" w:type="dxa"/>
            <w:bottom w:w="0" w:type="dxa"/>
            <w:right w:w="108" w:type="dxa"/>
          </w:tblCellMar>
        </w:tblPrEx>
        <w:trPr>
          <w:trHeight w:val="45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Device.Services.FAPService.{i}.CellConfig.{i}.NR.Capabilities.MaxUEsServed</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SupportRRCNumbers</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同时支持RRC连接最大用户数</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int[0:]</w:t>
            </w:r>
          </w:p>
        </w:tc>
        <w:tc>
          <w:tcPr>
            <w:tcW w:w="1843"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3"/>
                <w:szCs w:val="13"/>
              </w:rPr>
            </w:pPr>
            <w:r>
              <w:rPr>
                <w:rFonts w:hint="eastAsia" w:ascii="宋体" w:hAnsi="宋体" w:cs="宋体"/>
                <w:color w:val="000000"/>
                <w:kern w:val="0"/>
                <w:sz w:val="13"/>
                <w:szCs w:val="13"/>
              </w:rPr>
              <w:t>/</w:t>
            </w:r>
          </w:p>
        </w:tc>
      </w:tr>
      <w:tr>
        <w:tblPrEx>
          <w:tblCellMar>
            <w:top w:w="0" w:type="dxa"/>
            <w:left w:w="108" w:type="dxa"/>
            <w:bottom w:w="0" w:type="dxa"/>
            <w:right w:w="108" w:type="dxa"/>
          </w:tblCellMar>
        </w:tblPrEx>
        <w:trPr>
          <w:trHeight w:val="675"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Device.Services.FAPService.{i}.CellConfig.{i}.NR.Capabilities.SupportActiveRRCNumbers</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SupportActiveRRCNumbers</w:t>
            </w:r>
          </w:p>
        </w:tc>
        <w:tc>
          <w:tcPr>
            <w:tcW w:w="15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同时支持RRC激活最大用户数</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unsignedInt[0:65535]</w:t>
            </w:r>
          </w:p>
        </w:tc>
        <w:tc>
          <w:tcPr>
            <w:tcW w:w="1843"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3"/>
                <w:szCs w:val="13"/>
              </w:rPr>
            </w:pPr>
            <w:r>
              <w:rPr>
                <w:rFonts w:hint="eastAsia" w:ascii="宋体" w:hAnsi="宋体" w:cs="宋体"/>
                <w:color w:val="000000"/>
                <w:kern w:val="0"/>
                <w:sz w:val="13"/>
                <w:szCs w:val="13"/>
              </w:rPr>
              <w:t>/</w:t>
            </w:r>
          </w:p>
        </w:tc>
      </w:tr>
      <w:tr>
        <w:tblPrEx>
          <w:tblCellMar>
            <w:top w:w="0" w:type="dxa"/>
            <w:left w:w="108" w:type="dxa"/>
            <w:bottom w:w="0" w:type="dxa"/>
            <w:right w:w="108" w:type="dxa"/>
          </w:tblCellMar>
        </w:tblPrEx>
        <w:trPr>
          <w:trHeight w:val="675" w:hRule="atLeast"/>
        </w:trPr>
        <w:tc>
          <w:tcPr>
            <w:tcW w:w="846" w:type="dxa"/>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小区底噪测量</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Device.Services.FAPService.{i}.CellConfig.{i}.NR.Capabilities.PRBNum</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PRBNum</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子帧的PRB</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需要开启接收干扰功率测量的上行子帧的PRB索引。可以选择273个PRB中的任意多个，例如{0..7,50,272}表示选择0号到7号，50号及272号共10个位置上的PRB，其中”..”表示连续区间，“,”表示分隔;{0,1,2,…272}</w:t>
            </w:r>
          </w:p>
        </w:tc>
      </w:tr>
      <w:tr>
        <w:tblPrEx>
          <w:tblCellMar>
            <w:top w:w="0" w:type="dxa"/>
            <w:left w:w="108" w:type="dxa"/>
            <w:bottom w:w="0" w:type="dxa"/>
            <w:right w:w="108" w:type="dxa"/>
          </w:tblCellMar>
        </w:tblPrEx>
        <w:trPr>
          <w:trHeight w:val="675" w:hRule="atLeast"/>
        </w:trPr>
        <w:tc>
          <w:tcPr>
            <w:tcW w:w="84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Device.Services.FAPService.{i}.CellConfig.{i}.NR.Capabilities.NoisePwdBm</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NoisePwdBm</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底噪</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R</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w:t>
            </w:r>
          </w:p>
        </w:tc>
      </w:tr>
      <w:tr>
        <w:tblPrEx>
          <w:tblCellMar>
            <w:top w:w="0" w:type="dxa"/>
            <w:left w:w="108" w:type="dxa"/>
            <w:bottom w:w="0" w:type="dxa"/>
            <w:right w:w="108" w:type="dxa"/>
          </w:tblCellMar>
        </w:tblPrEx>
        <w:trPr>
          <w:trHeight w:val="675" w:hRule="atLeast"/>
        </w:trPr>
        <w:tc>
          <w:tcPr>
            <w:tcW w:w="846" w:type="dxa"/>
            <w:vMerge w:val="restart"/>
            <w:tcBorders>
              <w:top w:val="single" w:color="auto" w:sz="4" w:space="0"/>
              <w:left w:val="single" w:color="auto" w:sz="4" w:space="0"/>
              <w:right w:val="single" w:color="auto" w:sz="4" w:space="0"/>
            </w:tcBorders>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小区与RU映射</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Device.Services.FAPService.{i}.CellConfig.{i}.NR.RAN.RouteIndexList</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RouteIndexList</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路由指示列表</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string(512)</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小区关联的RU列表，使用SA页RU的RouteIndex标识，RouteIndex为EU时，表示该EU下连接的RU都关联到该小区；RouteIndex为RU时，表示指定的RU关联到该小区，多个RouteIndex用逗号隔开</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Device.Services.FAPService.{i}.CellConfig.{i}.NR.RAN.RuList</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RuList</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RU列表</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string(512)</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小区关联的RU列表，使用SA页RU的SerialNumber标识，多个RU用逗号隔开</w:t>
            </w:r>
          </w:p>
        </w:tc>
      </w:tr>
      <w:tr>
        <w:tblPrEx>
          <w:tblCellMar>
            <w:top w:w="0" w:type="dxa"/>
            <w:left w:w="108" w:type="dxa"/>
            <w:bottom w:w="0" w:type="dxa"/>
            <w:right w:w="108" w:type="dxa"/>
          </w:tblCellMar>
        </w:tblPrEx>
        <w:trPr>
          <w:trHeight w:val="675" w:hRule="atLeast"/>
        </w:trPr>
        <w:tc>
          <w:tcPr>
            <w:tcW w:w="846"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小区最大发射功率</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Device.Services.FAPService.{i}.CellConfig.{i}.NR.RAN.MaxTxPower</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MaxTxPower</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最大发射功率</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单位dBm</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指小基站所有通道发射功率总和</w:t>
            </w:r>
          </w:p>
        </w:tc>
      </w:tr>
      <w:tr>
        <w:tblPrEx>
          <w:tblCellMar>
            <w:top w:w="0" w:type="dxa"/>
            <w:left w:w="108" w:type="dxa"/>
            <w:bottom w:w="0" w:type="dxa"/>
            <w:right w:w="108" w:type="dxa"/>
          </w:tblCellMar>
        </w:tblPrEx>
        <w:trPr>
          <w:trHeight w:val="675" w:hRule="atLeast"/>
        </w:trPr>
        <w:tc>
          <w:tcPr>
            <w:tcW w:w="846" w:type="dxa"/>
            <w:vMerge w:val="restart"/>
            <w:tcBorders>
              <w:top w:val="single" w:color="auto" w:sz="4" w:space="0"/>
              <w:left w:val="single" w:color="auto" w:sz="4" w:space="0"/>
              <w:right w:val="single" w:color="auto" w:sz="4" w:space="0"/>
            </w:tcBorders>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DRX参数管理</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Device.Services.FAPService.{i}.CellConfig.{i}.NR.RAN.Drx.{i}.QCI</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QCI</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DrxLongCycle中的QCI</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DrxLongCycle中的QCI</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Device.Services.FAPService.{i}.CellConfig.{i}.NR.RAN.Drx.{i}.DrxAlgoSw</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DrxAlgoSw</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DRX算法开关</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{0:关闭,1:开启}</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Device.Services.FAPService.{i}.CellConfig.{i}.NR.RAN.Drx.{i}.PLMNList.{i}.PLMNID</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PLMNID</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小区PLMNID</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string(6)</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由MCC和MNC组成</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Device.Services.FAPService.{i}.CellConfig.{i}.NR.RAN.Drx.{i}.DrxLongCycle</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DrxLongCycle</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DRX长周期的长度</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字符串取值：ms10, ms20, ms32, ms40, ms60, ms64, ms70, ms80, ms128, ms160, ms256, ms320, ms512, ms640, ms1024, ms1280, ms2048, ms2560, ms5120, ms10240, spare12, spare11, spare10, spare9, spare8, spare7 spare6, spare5, spare4, spare3, spare2, spare1</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Device.Services.FAPService.{i}.CellConfig.{i}.NR.RAN.Drx.{i}.DrxonDurationTimer</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DrxonDurationTimer</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DRX持续时间定时器</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DRX周期内终端持续监听PDCCH的时间,字符串取值 ms1_32, ms2_32, ms3_32, ms4_32, ms5_32, ms6_32, ms7_32, ms8_32, ms9_32, ms10_32, ms11_32, ms12_32, ms13_32, ms14_32, ms15_32, ms16_32, ms17_32, ms18_32, ms19_32, ms20_32,ms21_32, ms22_32, ms23_32, ms24_32, ms25_32, ms26_32,ms27_32, ms28_32, ms29_32, ms30_32, ms31_32, ms1, ms2, ms3, ms4, ms5, ms6, ms8, ms10, ms20, ms30, ms40, ms50, ms60, ms80, ms100, ms200, ms300, ms400, ms500, ms600, ms800, ms1000, ms1200, ms1600, spare8, spare7 spare6, spare5, spare4, spare3, spare2, spare1</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注：ms1_32 表示 1/32ms  ... ms31_32表示 31/32ms</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Device.Services.FAPService.{i}.CellConfig.{i}.NR.RAN.Drx.{i}.DrxInactivityTimer</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DrxInactivityTimer</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DRX非激活定时器</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新传调度之后的持续监听PDCCH时间，字符串取值ms0, ms1, ms2, ms3, ms4, ms5, ms6, ms8, ms10, ms20, ms30, ms40, ms50, ms60, ms80, ms100, ms200, ms300, ms500, ms750, ms1280, ms1920, ms2560, spare9, spare8, spare7, spare6, spare5, spare4, spare3, spare2, spare1</w:t>
            </w:r>
          </w:p>
        </w:tc>
      </w:tr>
      <w:tr>
        <w:tblPrEx>
          <w:tblCellMar>
            <w:top w:w="0" w:type="dxa"/>
            <w:left w:w="108" w:type="dxa"/>
            <w:bottom w:w="0" w:type="dxa"/>
            <w:right w:w="108" w:type="dxa"/>
          </w:tblCellMar>
        </w:tblPrEx>
        <w:trPr>
          <w:trHeight w:val="675" w:hRule="atLeast"/>
        </w:trPr>
        <w:tc>
          <w:tcPr>
            <w:tcW w:w="846" w:type="dxa"/>
            <w:vMerge w:val="restart"/>
            <w:tcBorders>
              <w:top w:val="single" w:color="auto" w:sz="4" w:space="0"/>
              <w:left w:val="single" w:color="auto" w:sz="4" w:space="0"/>
              <w:right w:val="single" w:color="auto" w:sz="4" w:space="0"/>
            </w:tcBorders>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寻呼参数管理</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Device.Services.FAPService.{i}.CellConfig.{i}.NR.RAN.PCCHConfig.DefaultPagingCycle</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DefaultPagingCycle</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默认寻呼周期</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string(64)</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指示PCCH的默认寻呼周期。</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取值Enumerate{:rf32, rf64, rf128}</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Device.Services.FAPService.{i}.CellConfig.{i}.NR.RAN.PCCHConfig.PagingFrameOffset</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PagingFrameOffset</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寻呼偏置</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unsignedInt[0:15]</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该参数用于表示寻呼周期内寻呼帧的个数。</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nAndPagingFrameOffset</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取值范围 structure {</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n（寻呼周期内PF个数）:=enum{oneT, halfT,quarterT, oneEighthT,oneSixteenthT}，</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 xml:space="preserve">    PagingFrameOffset(寻呼偏置)  :=INTERGER</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   nAndPagingFrameOffset取值为oneT，则PagingFrameOffset 为NULL。</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Used to derive the number of total paging frames in T (corresponding to parameter N in TS 38.304 [20]) and paging frame offset (corresponding to parameter PF_offset in TS 38.304 [20]). 详见3GPP 38.331 section 6.3.2</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Device.Services.FAPService.{i}.CellConfig.{i}.NR.RAN.PCCHConfig.N</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寻呼总帧数</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unsignedInt[1,2,4,8,16]</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该参数用于表示寻呼周期内寻呼帧的个数。</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nAndPagingFrameOffset</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取值范围 structure {</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n（寻呼周期内PF个数）:=enum{oneT, halfT,quarterT, oneEighthT,oneSixteenthT}，</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 xml:space="preserve">    PagingFrameOffset(寻呼偏置)  :=INTERGER</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   nAndPagingFrameOffset取值为oneT，则PagingFrameOffset 为NULL。</w:t>
            </w:r>
          </w:p>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Used to derive the number of total paging frames in T (corresponding to parameter N in TS 38.304 [20]) and paging frame offset (corresponding to parameter PF_offset in TS 38.304 [20]). 详见3GPP 38.331 section 6.3.2</w:t>
            </w:r>
          </w:p>
        </w:tc>
      </w:tr>
      <w:tr>
        <w:tblPrEx>
          <w:tblCellMar>
            <w:top w:w="0" w:type="dxa"/>
            <w:left w:w="108" w:type="dxa"/>
            <w:bottom w:w="0" w:type="dxa"/>
            <w:right w:w="108" w:type="dxa"/>
          </w:tblCellMar>
        </w:tblPrEx>
        <w:trPr>
          <w:trHeight w:val="675"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Device.Services.FAPService.{i}.CellConfig.{i}.NR.RAN.PCCHConfig.Ns</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Ns</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PF中PO个数</w:t>
            </w:r>
          </w:p>
        </w:tc>
        <w:tc>
          <w:tcPr>
            <w:tcW w:w="7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string(64)</w:t>
            </w:r>
          </w:p>
        </w:tc>
        <w:tc>
          <w:tcPr>
            <w:tcW w:w="184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kern w:val="0"/>
                <w:sz w:val="13"/>
                <w:szCs w:val="13"/>
              </w:rPr>
            </w:pPr>
            <w:r>
              <w:rPr>
                <w:rFonts w:hint="eastAsia" w:ascii="宋体" w:hAnsi="宋体" w:cs="宋体"/>
                <w:color w:val="000000"/>
                <w:kern w:val="0"/>
                <w:sz w:val="13"/>
                <w:szCs w:val="13"/>
              </w:rPr>
              <w:t>指示PF中寻呼时机PO的个数。Enum{four,two,one}</w:t>
            </w:r>
          </w:p>
        </w:tc>
      </w:tr>
    </w:tbl>
    <w:p>
      <w:pPr>
        <w:pStyle w:val="4"/>
        <w:rPr>
          <w:rFonts w:ascii="黑体" w:hAnsi="黑体" w:eastAsia="黑体"/>
          <w:b w:val="0"/>
          <w:bCs w:val="0"/>
          <w:sz w:val="21"/>
          <w:szCs w:val="21"/>
        </w:rPr>
      </w:pPr>
      <w:r>
        <w:rPr>
          <w:rFonts w:ascii="黑体" w:hAnsi="黑体" w:eastAsia="黑体"/>
          <w:b w:val="0"/>
          <w:bCs w:val="0"/>
          <w:sz w:val="21"/>
          <w:szCs w:val="21"/>
        </w:rPr>
        <w:t xml:space="preserve"> </w:t>
      </w:r>
      <w:bookmarkStart w:id="25" w:name="_Toc89684814"/>
      <w:r>
        <w:rPr>
          <w:rFonts w:hint="eastAsia" w:ascii="黑体" w:hAnsi="黑体" w:eastAsia="黑体"/>
          <w:b w:val="0"/>
          <w:bCs w:val="0"/>
          <w:sz w:val="21"/>
          <w:szCs w:val="21"/>
        </w:rPr>
        <w:t>RAN协议栈参数</w:t>
      </w:r>
      <w:bookmarkEnd w:id="25"/>
    </w:p>
    <w:p>
      <w:pPr>
        <w:jc w:val="center"/>
      </w:pPr>
      <w:r>
        <w:rPr>
          <w:rFonts w:hint="eastAsia"/>
        </w:rPr>
        <w:t>表1</w:t>
      </w:r>
      <w:r>
        <w:t>0</w:t>
      </w:r>
      <w:r>
        <w:rPr>
          <w:rFonts w:hint="eastAsia"/>
        </w:rPr>
        <w:t>：RAN协议中参数</w:t>
      </w:r>
    </w:p>
    <w:tbl>
      <w:tblPr>
        <w:tblStyle w:val="22"/>
        <w:tblW w:w="14321" w:type="dxa"/>
        <w:tblInd w:w="103" w:type="dxa"/>
        <w:tblLayout w:type="fixed"/>
        <w:tblCellMar>
          <w:top w:w="0" w:type="dxa"/>
          <w:left w:w="108" w:type="dxa"/>
          <w:bottom w:w="0" w:type="dxa"/>
          <w:right w:w="108" w:type="dxa"/>
        </w:tblCellMar>
      </w:tblPr>
      <w:tblGrid>
        <w:gridCol w:w="669"/>
        <w:gridCol w:w="5715"/>
        <w:gridCol w:w="1134"/>
        <w:gridCol w:w="1116"/>
        <w:gridCol w:w="726"/>
        <w:gridCol w:w="709"/>
        <w:gridCol w:w="1276"/>
        <w:gridCol w:w="2976"/>
      </w:tblGrid>
      <w:tr>
        <w:tblPrEx>
          <w:tblCellMar>
            <w:top w:w="0" w:type="dxa"/>
            <w:left w:w="108" w:type="dxa"/>
            <w:bottom w:w="0" w:type="dxa"/>
            <w:right w:w="108" w:type="dxa"/>
          </w:tblCellMar>
        </w:tblPrEx>
        <w:trPr>
          <w:trHeight w:val="259" w:hRule="atLeast"/>
        </w:trPr>
        <w:tc>
          <w:tcPr>
            <w:tcW w:w="669"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71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11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2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70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27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297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59" w:hRule="atLeast"/>
        </w:trPr>
        <w:tc>
          <w:tcPr>
            <w:tcW w:w="669" w:type="dxa"/>
            <w:vMerge w:val="restart"/>
            <w:tcBorders>
              <w:top w:val="nil"/>
              <w:left w:val="single" w:color="auto" w:sz="4" w:space="0"/>
              <w:bottom w:val="nil"/>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物理层参数管理</w:t>
            </w: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Device.Services.FAPService.{i}.CellConfig.{i}.NR.RAN.PHY.FrequencyInfoDLSIB.OffsetToPointA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OffsetToPointA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SSB的PRB0中子载波0位置与PointA之间偏移值</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unsignedInt[0:2199]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取值范围：0~2199</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默认值为0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Device.Services.FAPService.{i}.CellConfig.{i}.NR.RAN.PHY.FrequencyInfoDLSIB.MultiFrequencyBandListNRSIB.{i}.FreqBandIndicatorNR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FreqBandIndicatorNR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NR频段指示</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unsignedInt[1:1024]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FreqBandIndList实际值</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总个数最大为8，即i最大取8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Device.Services.FAPService.{i}.CellConfig.{i}.NR.RAN.PHY.FrequencyInfoDLSIB.ScsSpecificCarrierList.{i}.SCSSpecificCarrier.OffsetToCarrier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OffsetToCarrier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载波偏置(下行)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unsignedInt[0:2199]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INTEGER (0..2199),i最大值取5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Device.Services.FAPService.{i}.CellConfig.{i}.NR.RAN.PHY.FrequencyInfoDLSIB.ScsSpecificCarrierList.{i}.SCSSpecificCarrier.SubcarrierSpacing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0代表kHz15，1代表kHz30，2代表kHz60，3代表kHz120，4代表kHz240.,i最大值取5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Device.Services.FAPService.{i}.CellConfig.{i}.NR.RAN.PHY.FrequencyInfoDLSIB.ScsSpecificCarrierList.{i}.SCSSpecificCarrier.CarrierBandwidth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CarrierBandwidth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带宽值(下行)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unsignedInt[1:275]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取值范围：[1~275],i最大值取5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Device.Services.FAPService.{i}.CellConfig.{i}.NR.RAN.PHY.FrequencyInfoULSIB.ScsSpecificCarrierList.{i}.SCSSpecificCarrier.OffsetToCarrier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OffsetToCarrier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载波偏置(上行)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unsignedInt[0:2199]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取值范围：[0~2199],i最大值取5</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Device.Services.FAPService.{i}.CellConfig.{i}.NR.RAN.PHY.FrequencyInfoULSIB.ScsSpecificCarrierList.{i}.SCSSpecificCarrier.SubcarrierSpacing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,i最大值取5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Device.Services.FAPService.{i}.CellConfig.{i}.NR.RAN.PHY.FrequencyInfoULSIB.ScsSpecificCarrierList.{i}.SCSSpecificCarrier.CarrierBandwidth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CarrierBandwidth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带宽值(上行)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unsignedInt[1:275]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取值范围：[1~275],i最大值取5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Device.Services.FAPService.{i}.CellConfig.{i}.NR.RAN.PHY.SSB.SsbPositionsInBurst.InOneGroup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InOneGroup</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SSB索引bit位</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string(8)</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指示SS-Burst-Set中的SSB的时域位置</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Device.Services.FAPService.{i}.CellConfig.{i}.NR.RAN.PHY.SSB.SsbPeriodicityServingCell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SsbPeriodicityServingCell</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SSB周期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SS-Burst-Set的周期</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Device.Services.FAPService.{i}.CellConfig.{i}.NR.RAN.PHY.SSB.SsbSubcarrierOffset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SsbSubcarrierOffset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SSB子载波偏置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kSSB的低4位，表示PointA相对于SSB子载波0的子载波偏移</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Device.Services.FAPService.{i}.CellConfig.{i}.NR.RAN.PHY.SubCarrierSpacingCommon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SubCarrierSpacingCommon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公共子载波间隔</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公共子载波间隔，SIB1、初始接入Msg.2/4、和SI-message使用的子载波间隔。 取值范围{scs15or60, scs30or120},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Device.Services.FAPService.{i}.CellConfig.{i}.NR.RAN.PHY.DmrsTypeAPosition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DmrsTypeAPosition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DMRS TypeA位置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上下行DM-RS位置，取值范围：{0, 1}分别表示{pos2, pos3}</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Device.Services.FAPService.{i}.CellConfig.{i}.NR.RAN.PHY.TimeAlignmentTimerCommon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TimeAlignmentTimerCommon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上行提前量</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上行提前量,Enumerate{ms500, ms750, ms1280, ms1920, ms2560, ms5120, ms10240, infinity}</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Device.Services.FAPService.{i}.CellConfig.{i}.NR.RAN.PHY.TddULDLConfigurationCommon.ReferenceSubcarrierSpacing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ReferenceSubcarrierSpacing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参考子载波间隔</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Device.Services.FAPService.{i}.CellConfig.{i}.NR.RAN.PHY.TddULDLConfigurationCommon.pattern1.DlULTransmissionPeriodicity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DlULTransmissionPeriodicity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模式1的传输周期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 1, 2, 3, 4,5,6,7,8,9}</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0代表ms0p5，1代表ms0p625，2代表ms1，3代表ms1p25，4代表ms2，5代表ms2p5，6代表ms3，7代表ms4,8代表ms5,9代表ms10.</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Device.Services.FAPService.{i}.CellConfig.{i}.NR.RAN.PHY.TddULDLConfigurationCommon.pattern1.NrofDownlinkSlots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NrofDownlinkSlots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模式1的连续下行时隙数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Device.Services.FAPService.{i}.CellConfig.{i}.NR.RAN.PHY.TddULDLConfigurationCommon.pattern1.NrofDownlinkSymbols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NrofDownlinkSymbols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模式1的连续下行符号数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Device.Services.FAPService.{i}.CellConfig.{i}.NR.RAN.PHY.TddULDLConfigurationCommon.pattern1.NrofUplinkSlots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NrofUplinkSlots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模式1的连续上行时隙数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Device.Services.FAPService.{i}.CellConfig.{i}.NR.RAN.PHY.TddULDLConfigurationCommon.pattern1.NrofUplinkSymbols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NrofUplinkSymbols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模式1的连续上行符号数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Device.Services.FAPService.{i}.CellConfig.{i}.NR.RAN.PHY.TddULDLConfigurationCommon.pattern2.DlULTransmissionPeriodicity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DlULTransmissionPeriodicity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模式2的传输周期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unsignedInt[0:9,0x00000FFF]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 1, 2, 3, 4,5,6,7,8,9,0x00000FFF}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0代表ms0p5，1代表ms0p625，2代表ms1，3代表ms1p25，4代表ms2，5代表ms2p5，6代表ms3，7代表ms4，8代表ms5,9代表ms100x00000FFF代表无效值</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Device.Services.FAPService.{i}.CellConfig.{i}.NR.RAN.PHY.TddULDLConfigurationCommon.pattern2.NrofDownlinkSlots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NrofDownlinkSlots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模式2的连续下行时隙数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Device.Services.FAPService.{i}.CellConfig.{i}.NR.RAN.PHY.TddULDLConfigurationCommon.pattern2.NrofDownlinkSymbols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NrofDownlinkSymbols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模式2的连续下行符号数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Device.Services.FAPService.{i}.CellConfig.{i}.NR.RAN.PHY.TddULDLConfigurationCommon.pattern2.NrofUplinkSlots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NrofUplinkSlots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模式2的连续上行时隙数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Device.Services.FAPService.{i}.CellConfig.{i}.NR.RAN.PHY.TddULDLConfigurationCommon.pattern2.NrofUplinkSymbols</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NrofUplinkSymbols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模式2的连续上行符号数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Device.Services.FAPService.{i}.CellConfig.{i}.NR.RAN.PHY.PUSCH.PuschTpcAccumulation</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PuschTpcAccumulation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PUSCH累积式功控开关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 关闭:0, 打开:1 }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Device.Services.FAPService.{i}.CellConfig.{i}.NR.RAN.PHY.BWP.BWPDL.{i}.DlBWPId</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DlBWPId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下行BWP标识符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取值范围：{0~4, 0x00000FFF}</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Device.Services.FAPService.{i}.CellConfig.{i}.NR.RAN.PHY.BWP.BWPUL.{i}.UlBWPId </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UlBWPId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上行BWP标识符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取值范围：{0~4, 0x00000FFF}</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Device.Services.FAPService.{i}.CellConfig.{i}.NR.RAN.PHY.BWP.BWPDL.{i}.StartPrbPosition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StartPrbPosition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起始PRB位置（下行）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unsignedInt[0:273]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配置BWP的起始RB位置。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取值范围：[0~273]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Device.Services.FAPService.{i}.CellConfig.{i}.NR.RAN.PHY.BWP.BWPDL.{i}.Bandwidth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Bandwidth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BWP带宽（下行）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unsignedInt[5,10,15,20,25,30,40,50,60,80,90,100]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配置BWP的带宽。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取值范围：{5,10,15,20,25,30,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40,50,60,80,90,100}MHz</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BWP子载波间隔（下行）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Device.Services.FAPService.{i}.CellConfig.{i}.NR.RAN.PHY.BWP.BWPDL.{i}.CyclicPrefix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CyclicPrefix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循环前缀（下行）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配置CP长度，取值范围{normal，extended}</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Device.Services.FAPService.{i}.CellConfig.{i}.NR.RAN.PHY.BWP.BWPUL.{i}.StartPrbPosition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StartPrbPosition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起始PRB位置（上行）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unsignedInt[0:273]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配置BWP的起始RB位置。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取值范围：[0~273]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Device.Services.FAPService.{i}.CellConfig.{i}.NR.RAN.PHY.BWP.BWPUL.{i}.Bandwidth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Bandwidth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BWP带宽（上行）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unsignedInt[5,10,15,20,25,30,40,50,60,80,90,100]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配置BWP的带宽。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取值范围：{5,10,15,20,25,30,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40,50,60,80,90,100}MHz</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Device.Services.FAPService.{i}.CellConfig.{i}.NR.RAN.PHY.BWP.BWPUL.{i}.SrsPowerControlAdjustmentStates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SrsPowerControlAdjustmentStates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SRS功率控制调整状态</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该参数用于指示SRS是单独功控或者跟随着PUSCH同时功控,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字符串取值：{sameAsFci2, separateClosedLoop，sameAsFci1}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Device.Services.FAPService.{i}.CellConfig.{i}.NR.RAN.PHY.BWP.BWPUL.{i}.SrsAlpha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SrsAlpha</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SRS路损因子</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该参数用于设置SRS功控的路损因子ENUMERATED {alpha0, alpha04, alpha05, alpha06, alpha07, alpha08, alpha09, alpha1}</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Device.Services.FAPService.{i}.CellConfig.{i}.NR.RAN.PHY.BWP.BWPUL.{i}.SrsP0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SrsP0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SRS的目标接收功率</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该参数用于设置SRS功控的目标接收功率，单位dBm</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BWP子载波间隔（上行）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6" w:type="dxa"/>
            <w:tcBorders>
              <w:top w:val="nil"/>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Device.Services.FAPService.{i}.CellConfig.{i}.NR.RAN.PHY.BWP.BWPUL.{i}.CyclicPrefix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CyclicPrefix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循环前缀（上行）</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配置CP长度，取值范围{normal，extended}</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Device.Services.FAPService.{i}.CellConfig.{i}.NR.RAN.PHY.BWP.BWPUL.{i}.ConfiguredGrantConfig.PowerControlLoopToUse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PowerControlLoopToUse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PUSCH免授权和SPS时功率调整因子索引</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PUSCH免授权和SPS时f(i)索引,ENUMERATED {1:n0, 2:n1},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Device.Services.FAPService.{i}.CellConfig.{i}.NR.RAN.PHY.BWP.BWPUL.{i}.RACHConfigGeneric.PrachConfigurationIndex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PrachConfigurationIndex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PRACH时域配置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unsignedInt[0:255]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Device.Services.FAPService.{i}.CellConfig.{i}.NR.RAN.PHY.BWP.BWPUL.{i}.RACHConfigGeneric.Msg1FDM </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Msg1FDM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PRACH频域资源个数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分别对应{one, two, four, eight}</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Device.Services.FAPService.{i}.CellConfig.{i}.NR.RAN.PHY.BWP.BWPUL.{i}.RACHConfigGeneric.Msg1FrequencyStart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Msg1FrequencyStart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PRACH频域起始位置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unsignedInt[0:274]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取值范围：[0~274]</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Device.Services.FAPService.{i}.CellConfig.{i}.NR.RAN.PHY.BWP.BWPUL.{i}.RACHConfigGeneric.ZeroCorrelationZoneConfig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ZeroCorrelationZoneConfig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Ncs值</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取值范围：[0~15]</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Device.Services.FAPService.{i}.CellConfig.{i}.NR.RAN.PHY.BWP.BWPUL.{i}.RACHConfigGeneric.PreambleReceivedTargetPower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PreambleReceivedTargetPower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前导目标接收功率</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int[-204:-60]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取值范围：[-202 ~ -60]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Device.Services.FAPService.{i}.CellConfig.{i}.NR.RAN.PHY.BWP.BWPUL.{i}.RACHConfigGeneric.PreambleTransMax</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PreambleTransMax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最大前导发送次数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取值范围：[0,1,2,3,4,5,6,7,8,9,10]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分别对应{n3, n4, n5, n6, n7, n8, n10, n20, n50, n100, n200}</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Device.Services.FAPService.{i}.CellConfig.{i}.NR.RAN.PHY.BWP.BWPUL.{i}.RACHConfigGeneric.PowerRampingStep</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PowerRampingStep</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前导爬坡步长</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分别对应{dB0, dB2, dB4, dB6}</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Device.Services.FAPService.{i}.CellConfig.{i}.NR.RAN.PHY.BWP.BWPUL.{i}.RACHConfigGeneric.RaResponseWindow</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RaResponseWindow</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RAR窗长</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取值范围：[0,1,2,3,4,5,6,7]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分别对应{sl1, sl2, sl4, sl8, sl10, sl20, sl40, sl80}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Device.Services.FAPService.{i}.CellConfig.{i}.NR.RAN.PHY.BWP.BWPUL.{i}.RACHConfigCommon.TotalNumberOfRAPreambles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TotalNumberOfRAPreambles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Preamble码个数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unsignedInt[1:63,0x00000FFF]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取值范围：[1~63,0x00000FFF]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Device.Services.FAPService.{i}.CellConfig.{i}.NR.RAN.PHY.BWP.BWPUL.{i}.RACHConfigCommon.SSBPerRACHOccasionChoice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SSBPerRACHOccasionChoice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PRACH对应SSB个数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unsignedInt[0:7,0x0000000F]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PRACH对应SSB个数，控制CBPreamblesPerSSB的选择范围，取值范围：[0~7, 0x0F]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分别对应{oneEighth, oneFourth, oneHalf, one, two, four, eight, sisteen}</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0x0000000F表示无效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Device.Services.FAPService.{i}.CellConfig.{i}.NR.RAN.PHY.BWP.BWPUL.{i}.RACHConfigCommon.CBPreamblesPerSSB</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CBPreamblesPerSSB</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SSB对应前导码个数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SSB对应前导码个数，1）SSBPerRACHOccasionChoice=0时，取值范围：[0~15]，对应{n4,n8,n12,n16,n20,n24,n28,n32,n36,n40,n44,n48,n52,n56,n60,n64}；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2）SSBPerRACHOccasionChoice=1时，取值范围：[0~15]，对应{n4,n8,n12,n16,n20,n24,n28,n32,n36,n40,n44,n48,n52,n56,n60,n64}；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3）SSBPerRACHOccasionChoice=2时，取值范围：[0~15]，对应{n4,n8,n12,n16,n20,n24,n28,n32,n36,n40,n44,n48,n52,n56,n60,n64}；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4）SSBPerRACHOccasionChoice=3时，取值范围：[0~15]，对应{n4,n8,n12,n16,n20,n24,n28,n32,n36,n40,n44,n48,n52,n56,n60,n64}；</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Device.Services.FAPService.{i}.CellConfig.{i}.NR.RAN.PHY.BWP.BWPUL.{i}.RACHConfigCommon.RaMsg3SizeGroupA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RaMsg3SizeGroupA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 GroupA大小门限</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取值范围：[0~9]</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b56, b144, b208, b256, b282, b480, b640, b800, b1000,b72}</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Device.Services.FAPService.{i}.CellConfig.{i}.NR.RAN.PHY.BWP.BWPUL.{i}.RACHConfigCommon.MessagePowerOffsetGroupB</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MessagePowerOffsetGroupB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Preamble码选择门限值</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minusinfinity, dB0, dB5, dB8, dB10, dB12, dB15, dB18}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Device.Services.FAPService.{i}.CellConfig.{i}.NR.RAN.PHY.BWP.BWPUL.{i}.RACHConfigCommon.NumberOfRAPreamblesGroupA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NumberOfRAPreamblesGroupA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GroupA中Preamble码个数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unsignedInt[1:64]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INTEGER (1..64)</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Device.Services.FAPService.{i}.CellConfig.{i}.NR.RAN.PHY.BWP.BWPUL.{i}.RACHConfigCommon.RaContentionResolutionTimer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RaContentionResolutionTimer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随机接入竞争窗长</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sf8, sf16, sf24, sf32, sf40, sf48, sf56, sf64}</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Device.Services.FAPService.{i}.CellConfig.{i}.NR.RAN.PHY.BWP.BWPUL.{i}.RACHConfigCommon.RsrpThresholdSSB</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RsrpThresholdSSB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随机接入SSB RSRP门限</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 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Device.Services.FAPService.{i}.CellConfig.{i}.NR.RAN.PHY.BWP.BWPUL.{i}.RACHConfigCommon.RootType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RootType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根序列类型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控制RootSequenceIndex范围。</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分别代表{ l839，l139}</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Device.Services.FAPService.{i}.CellConfig.{i}.NR.RAN.PHY.BWP.BWPUL.{i}.RACHConfigCommon.RootSequenceIndex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RootSequenceIndex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根序列索引</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unsignedInt[0:837]</w:t>
            </w:r>
          </w:p>
        </w:tc>
        <w:tc>
          <w:tcPr>
            <w:tcW w:w="2976" w:type="dxa"/>
            <w:tcBorders>
              <w:top w:val="nil"/>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RootType=0时，取值范围为：[0~837]；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RootType=1时，取值范围为：[0~137]；</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Device.Services.FAPService.{i}.CellConfig.{i}.NR.RAN.PHY.BWP.BWPUL.{i}.RACHConfigCommon.Msg1SubcarrierSpacing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Msg1SubcarrierSpacing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msg1子载波间隔</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unsignedInt[0:4,0x0000000F]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 1, 2, 3, 4，0x0000000F}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0代表kHz15，1代表kHz30，2代表kHz60，3代表kHz120，4代表kHz240,0x0000000F代表不存在。</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Device.Services.FAPService.{i}.CellConfig.{i}.NR.RAN.PHY.BWP.BWPUL.{i}.RACHConfigCommon.RestrictedSetConfig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RestrictedSetConfig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限制集配置参数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 1, 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unrestrictedSet, restrictedSetTypeA, restrictedSetTypeB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Device.Services.FAPService.{i}.CellConfig.{i}.NR.RAN.PHY.BWP.BWPUL.{i}.RACHConfigCommon.Msg3TransformPrecoder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Msg3Transform Precoder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Msg3预编码</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 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0表示无效；1表示enabled；</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Device.Services.FAPService.{i}.CellConfig.{i}.NR.RAN.PHY.BWP.BWPUL.{i}.PUSCH.UlDmrsMaxLength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UlDmrsMaxLength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上行行DMRS最大符号个数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 2}</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Device.Services.FAPService.{i}.CellConfig.{i}.NR.RAN.PHY.BWP.BWPUL.{i}.PUSCH.UlAdditionalDmrsPos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UlAdditionalDmrsPos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上行Additional DMRS位置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Device.Services.FAPService.{i}.CellConfig.{i}.NR.RAN.PHY.BWP.BWPUL.{i}.PUSCH.UlTimeAlignmentTimer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UlTimeAlignmentTimer</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上行时间对齐定时器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该参数表示UE上行时间对齐的定时器长度，该定时器超时，则认为UE上行失步。字符串取值 {ms500, ms750, ms1280, ms1920, ms2560, ms5120, ms10240, infinity}</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Device.Services.FAPService.{i}.CellConfig.{i}.NR.RAN.PHY.BWP.BWPUL.{i}.PUSCHConfigCommon.GroupHoppingEnabledTransformPrecoding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GroupHoppingEnabledTransformPrecoding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序列组跳频开关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 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0表示无效；1表示enabled；</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Device.Services.FAPService.{i}.CellConfig.{i}.NR.RAN.PHY.BWP.BWPUL.{i}.PUSCHTimeDomainAllocationList.{i}.K2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K2</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PDCCH到PUSCH调度延迟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 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Device.Services.FAPService.{i}.CellConfig.{i}.NR.RAN.PHY.BWP.BWPUL.{i}.PUSCHTimeDomainAllocationList.{i}.MappingType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MappingType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PUSCH映射类型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typeA, typeB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Device.Services.FAPService.{i}.CellConfig.{i}.NR.RAN.PHY.BWP.BWPUL.{i}.PUSCHTimeDomainAllocationList.{i}.StartSymbolAndLength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StartSymbolAndLength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PUSCH起始符号和长度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Device.Services.FAPService.{i}.CellConfig.{i}.NR.RAN.PHY.BWP.BWPUL.{i}.PUSCHConfigCommon.Msg3DeltaPreamble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Msg3DeltaPreamble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MSG3与preamble之间发送功率的偏移值</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取值范围：{-1~6,0x00000FFF}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Device.Services.FAPService.{i}.CellConfig.{i}.NR.RAN.PHY.BWP.BWPUL.{i}.PUSCHConfigCommon.P0NominalWithGrant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P0NominalWithGrant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PUSCH功率值P0</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int[-204:24,0x00000FFF]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取值范围：{-202~24,0x00000FFF}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Device.Services.FAPService.{i}.CellConfig.{i}.NR.RAN.PHY.BWP.BWPUL.{i}.PUSCHPowerControl.P0NominalWithoutGrant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P0NominalWithoutGrant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免授权或SPS调度时PUSCH小区级的期望接收功率</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int[-202:24]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免授权或SPS调度时PUSCH小区级的期望接收功率,单位dBm</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Device.Services.FAPService.{i}.CellConfig.{i}.NR.RAN.PHY.BWP.BWPUL.{i}.PUSCHPowerControl.Msg3Alpha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Msg3Alpha</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MSG3时的路损补偿因子</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该参数用于设置MSG3场景时的路损补偿因子，字符串取值： {alpha0, alpha04, alpha05, alpha06, alpha07, alpha08, alpha09, alpha1}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Device.Services.FAPService.{i}.CellConfig.{i}.NR.RAN.PHY.BWP.BWPUL.{i}.PUSCHPowerControl.TwoPUSCHPCAdjustmentStates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TwoPUSCHPCAdjustmentStates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PUSCH功率调整因子类型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该参数用于设置PUSCH功率调整因子类型。当需要同时具备两种功率调整因子，则配置twoStates；当只需一种调整因子,则配置onestate。       ENUMERATED {oneState,twoStates}  </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Device.Services.FAPService.{i}.CellConfig.{i}.NR.RAN.PHY.BWP.BWPUL.{i}.PUSCHPowerControl.DeltaMCS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DeltaMCS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MCS功率补偿</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该参数用于判决是否开启MCS功率补偿开关,ENUMERATED {1:enabled,2:disabled}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Device.Services.FAPService.{i}.CellConfig.{i}.NR.RAN.PHY.BWP.BWPUL.{i}.PUSCHPowerControl.PuschPcSwitch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PuschPcSwitch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上行PUSCH闭环功控开关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上行PUSCH闭环功控开关,取值范围: ENUMERATED{1:ON，2:OFF}</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Device.Services.FAPService.{i}.CellConfig.{i}.NR.RAN.PHY.BWP.BWPUL.{i}.PUCCHConfigCommon.PucchResourceCommon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PucchResourceCommon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PUCCH公共资源</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取值范围：[0~15,0x00000FFF]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Device.Services.FAPService.{i}.CellConfig.{i}.NR.RAN.PHY.BWP.BWPUL.{i}.PUCCHConfigCommon.PucchGroupHopping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PucchGroupHopping</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PUCCH组跳频开关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neither, enable, disable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Device.Services.FAPService.{i}.CellConfig.{i}.NR.RAN.PHY.BWP.BWPUL.{i}.PUCCHConfigCommon.HoppingId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HoppingId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PUCCH加扰ID</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unsignedInt[0:1023,0x00000FFF]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取值范围：[0~1023,0x00000FFF]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Device.Services.FAPService.{i}.CellConfig.{i}.NR.RAN.PHY.BWP.BWPUL.{i}.PUCCHConfigCommon.P0nominal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P0nominal</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PUCCH功率值P0</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int[-202:24]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取值范围：[-202~24,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Device.Services.FAPService.{i}.CellConfig.{i}.NR.RAN.PHY.BWP.BWPUL.{i}.PUCCHPowerControl.DeltaFPUCCHf0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DeltaFPUCCHf0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 Format 0功率偏移</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该参数指示了PUCCH format 0物理信道上的所需要的功率偏移,单位dB</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Device.Services.FAPService.{i}.CellConfig.{i}.NR.RAN.PHY.BWP.BWPUL.{i}.PUCCHPowerControl.DeltaFPUCCHf1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DeltaFPUCCHf1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 Format 1功率偏移</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该参数指示了PUCCH format 1物理信道上的所需要的功率偏移,单位dB</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Device.Services.FAPService.{i}.CellConfig.{i}.NR.RAN.PHY.BWP.BWPUL.{i}.PUCCHPowerControl.DeltaFPUCCHf2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DeltaFPUCCHf2</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 Format 2功率偏移</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该参数指示了PUCCH format 2物理信道上的所需要的功率偏移,单位dB</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Device.Services.FAPService.{i}.CellConfig.{i}.NR.RAN.PHY.BWP.BWPUL.{i}.PUCCHPowerControl.DeltaFPUCCHf3</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DeltaFPUCCHf3</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 Format 3功率偏移</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该参数指示了PUCCH format 3物理信道上的所需要的功率偏移,单位dB</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Device.Services.FAPService.{i}.CellConfig.{i}.NR.RAN.PHY.BWP.BWPUL.{i}.PUCCHPowerControl.DeltaFPUCCHf4</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DeltaFPUCCHf4</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 Format 4功率偏移</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int[-16:15]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该参数指示了PUCCH format 4物理信道上的所需要的功率偏移,单位dB</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Device.Services.FAPService.{i}.CellConfig.{i}.NR.RAN.PHY.BWP.BWPUL.{i}.PUCCHPowerControl.PucchPcSwitch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PucchPcSwitch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上行PUCCH闭环功控开关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上行PUCCH闭环功控开关,取值范围: ENUMERATED{1:ON，2:OFF}</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Device.Services.FAPService.{i}.CellConfig.{i}.NR.RAN.PHY.BWP.BWPUL.{i}.PUCCH.PucchRBNum</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PucchRBNum</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长格式PUCCH的RB个数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长格式PUCCH的RB个数</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Device.Services.FAPService.{i}.CellConfig.{i}.NR.RAN.PHY.BWP.BWPDL.{i}.PDCCH.PDCCHConfigCommon.ControlResourceSetZero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ControlResourceSetZero</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CORESET#0</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配置初始BWP的CORESET#0，取值范围：{0~15,0x00000FFF}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0x00000FFF表示无效；初始BWP配置必须有效（即当PdcchId等于1时必须有效）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MIB中pdcch-ConfigSIB1的高四位</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Device.Services.FAPService.{i}.CellConfig.{i}.NR.RAN.PHY.BWP.BWPDL.{i}.PDCCH.PDCCHConfigCommon.SearchSpaceZero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SearchSpaceZero</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搜索空间#0</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配置初始BWP的搜索空间#0，取值范围：{0~15,0x00000FFF}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0x00000FFF表示无效；初始BWP配置必须有效（即当PdcchId等于1时必须有效）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MIB中pdcch-ConfigSIB1的低四位</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Device.Services.FAPService.{i}.CellConfig.{i}.NR.RAN.PHY.BWP.BWPDL.{i}.PDCCH.PDCCHConfigCommon.SearchSpaceSIB1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SearchSpaceSIB1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SIB1搜索空间</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unsignedInt[0:39,0x00000FFF]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SIB1搜索空间的ID，取值范围：{0~39,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Device.Services.FAPService.{i}.CellConfig.{i}.NR.RAN.PHY.BWP.BWPDL.{i}.PDCCH.PDCCHConfigCommon.SearchSpaceOtherSystemInformation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SearchSpaceOtherSystemInformation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其它SI搜索空间</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unsignedInt[0:39, 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其它SI搜索空间的ID，取值范围：{0~39,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Device.Services.FAPService.{i}.CellConfig.{i}.NR.RAN.PHY.BWP.BWPDL.{i}.PDCCH.PDCCHConfigCommon.PagingSearchSpace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PagingSearchSpace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寻呼搜索空间</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unsignedInt[0:39, 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寻呼搜索空间的ID，取值范围：{0~39,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Device.Services.FAPService.{i}.CellConfig.{i}.NR.RAN.PHY.BWP.BWPDL.{i}.PDCCH.PDCCHConfigCommon.RaSearchSpace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RaSearchSpace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随机接入搜索空间</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unsignedInt[0:39, 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随机接入搜索空间的ID，取值范围：{0~39, 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Device.Services.FAPService.{i}.CellConfig.{i}.NR.RAN.PHY.BWP.BWPDL.{i}.PDCCH.CommonControlResourceSet.ControlResourceSetId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ControlResourceSetId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控制资源集ID</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控制资源集ID，取值范围：{0~11}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Device.Services.FAPService.{i}.CellConfig.{i}.NR.RAN.PHY.BWP.BWPDL.{i}.PDCCH.CommonControlResourceSet.FrequencyDomainResources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FrequencyDomainResources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控制资源集频域范围</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string(45)</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控制资源集频域范围，BIT STRING (SIZE (45))</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 35184372088831}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 1FFFFFFFFFFF</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Device.Services.FAPService.{i}.CellConfig.{i}.NR.RAN.PHY.BWP.BWPDL.{i}.PDCCH.CommonControlResourceSet.Duration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Duration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符号数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控制资源集占用符号数，取值范围：{0~3}</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Device.Services.FAPService.{i}.CellConfig.{i}.NR.RAN.PHY.BWP.BWPDL.{i}.PDCCH.CommonControlResourceSet.CceRegMappingType.RegType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RegMappingType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CCE-REG映射类型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0表示RegBundleSize、InterleaverSize、ShiftIndex三个参数无效；1表示三个参数有效；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Device.Services.FAPService.{i}.CellConfig.{i}.NR.RAN.PHY.BWP.BWPDL.{i}.PDCCH.CommonControlResourceSet.CceRegMappingType.RegBundleSize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RegBundleSize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REG绑定大小</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w:t>
            </w:r>
          </w:p>
        </w:tc>
        <w:tc>
          <w:tcPr>
            <w:tcW w:w="2976" w:type="dxa"/>
            <w:tcBorders>
              <w:top w:val="single" w:color="auto" w:sz="4" w:space="0"/>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取值范围：{0，1,2}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n2, n3, n6}；</w:t>
            </w:r>
            <w:r>
              <w:rPr>
                <w:rFonts w:hint="eastAsia" w:ascii="宋体" w:hAnsi="宋体" w:cs="宋体"/>
                <w:color w:val="000000"/>
                <w:kern w:val="0"/>
                <w:sz w:val="18"/>
                <w:szCs w:val="18"/>
              </w:rPr>
              <w:br w:type="textWrapping"/>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Device.Services.FAPService.{i}.CellConfig.{i}.NR.RAN.PHY.BWP.BWPDL.{i}.PDCCH.CommonControlResourceSet.CceRegMappingType.InterleaverSize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InterleaverSize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交织长度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n2, n3, n6}；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Device.Services.FAPService.{i}.CellConfig.{i}.NR.RAN.PHY.BWP.BWPDL.{i}.PDCCH.CommonControlResourceSet.CceRegMappingType.ShiftIndex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ShiftIndex</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转换索引</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unsignedInt[0:274,0x00000FFF]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取值范围：{0~274,0x00000FFF}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Device.Services.FAPService.{i}.CellConfig.{i}.NR.RAN.PHY.BWP.BWPDL.{i}.PDCCH.CommonControlResourceSet.PrecoderGranularity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PrecoderGranularity</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预编码粒度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控制资源集的预编码粒度，取值范围：{0，1}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sameAsREG-bundle, allContiguousRBs }；</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Device.Services.FAPService.{i}.CellConfig.{i}.NR.RAN.PHY.BWP.BWPDL.{i}.PDCCH.CommonControlResourceSet.PdcchDMRSScramblingID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PdcchDMRSScramblingID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PDCCH DMRS加扰ID</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unsignedInt[0:65535,0x0FFFFFFF]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配置PDCCH DMRS加扰ID，取值范围：{0~65535,0x0FFFFFFF}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0x0FFFFFFF表示无效；</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Device.Services.FAPService.{i}.CellConfig.{i}.NR.RAN.PHY.BWP.BWPDL.{i}.PDCCH.CommonSearchSpaceList.{i}.SearchSpaceId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SearchSpaceId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搜索空间ID</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配置搜索空间ID</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Device.Services.FAPService.{i}.CellConfig.{i}.NR.RAN.PHY.BWP.BWPDL.{i}.PDCCH.CommonSearchSpaceList.{i}.ControlResourceSetId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ControlResourceSetId</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控制资源集ID</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配置搜索空间对应的控制资源集ID</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Device.Services.FAPService.{i}.CellConfig.{i}.NR.RAN.PHY.BWP.BWPDL.{i}.PDCCH.CommonSearchSpaceList.{i}.MonitoringSlotPeriodicity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MonitoringSlotPeriodicity</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搜索空间周期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unsignedInt[1,2,4,5,10,16,20,40,80,160,320,640,1280,2560,0x00000FFF]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配置搜索空间的周期。</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 1，2，4，5，l5，10，16，20，40，80，160，320，640，1280，2560,0x00000FFF}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sl1，sl2，sl4，sl5，sl10，sl16，sl20，sl40，sl80，sl160，sl320，sl640，sl1280，sl2560}，Ox00000FFF表示无效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Device.Services.FAPService.{i}.CellConfig.{i}.NR.RAN.PHY.BWP.BWPDL.{i}.PDCCH.CommonSearchSpaceList.{i}.MonitoringSlotOffset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MonitoringSlotOffset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监测周期偏置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unsignedInt[0:2559]</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配置搜索空间监测周期的偏置。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 MonitoringSlotPeriodicity-1]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Device.Services.FAPService.{i}.CellConfig.{i}.NR.RAN.PHY.BWP.BWPDL.{i}.PDCCH.CommonSearchSpaceList.{i}.Duration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Duration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监测时隙数目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unsignedInt[2:2559,0x00000FFF]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配置搜索空间连续出现的时隙数目。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取值范围：[2~2559,0x00000FFF]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Device.Services.FAPService.{i}.CellConfig.{i}.NR.RAN.PHY.BWP.BWPDL.{i}.PDCCH.CommonSearchSpaceList.{i}.MonitoringSymbolsWithinSlot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MonitoringSymbolsWithinSlot</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监测符号位置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unsignedInt[0:16383]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配置搜索空间在时隙中的起始符号位置。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BIT STRING (SIZE (14))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取值范围：{0~16383, 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0x0FFFFFFF表示无效</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Device.Services.FAPService.{i}.CellConfig.{i}.NR.RAN.PHY.BWP.BWPDL.{i}.PDCCH.CommonSearchSpaceList.{i}.nrofCandidates.AggregationLevel1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AggregationLevel1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聚合等级1</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n0, n1, n2, n3, n4, n5, n6, n8}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Device.Services.FAPService.{i}.CellConfig.{i}.NR.RAN.PHY.BWP.BWPDL.{i}.PDCCH.CommonSearchSpaceList.{i}.nrofCandidates.AggregationLevel2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AggregationLevel2</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聚合等级2</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n0, n1, n2, n3, n4, n5, n6, n8}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Device.Services.FAPService.{i}.CellConfig.{i}.NR.RAN.PHY.BWP.BWPDL.{i}.PDCCH.CommonSearchSpaceList.{i}.nrofCandidates.AggregationLevel4</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AggregationLevel4</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聚合等级4</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n0, n1, n2, n3, n4, n5, n6, n8}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Device.Services.FAPService.{i}.CellConfig.{i}.NR.RAN.PHY.BWP.BWPDL.{i}.PDCCH.CommonSearchSpaceList.{i}.nrofCandidates.AggregationLevel8</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AggregationLevel8</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聚合等级8</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n0, n1, n2, n3, n4, n5, n6, n8}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Device.Services.FAPService.{i}.CellConfig.{i}.NR.RAN.PHY.BWP.BWPDL.{i}.PDCCH.CommonSearchSpaceList.{i}.nrofCandidates.AggregationLevel16</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AggregationLevel16</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聚合等级16</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n0, n1, n2, n3, n4, n5, n6, n8}</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Device.Services.FAPService.{i}.CellConfig.{i}.NR.RAN.PHY.BWP.BWPDL.{i}.PDCCH.CommonSearchSpaceList.{i}.SearchSpaceType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SearchSpaceType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搜索空间类型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0表示选择common配置；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1表示选择ue专有配置；</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Device.Services.FAPService.{i}.CellConfig.{i}.NR.RAN.PHY.BWP.BWPDL.{i}.PDCCH.CommonSearchSpaceList.{i}.DciFormat00And10En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DciFormat00And10En</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公共搜索空间DCI格式开关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配置为公共搜索空间时，dci-Format0-0-AndFormat1-0是否存在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Device.Services.FAPService.{i}.CellConfig.{i}.NR.RAN.PHY.BWP.BWPDL.{i}.PDCCH.CommonSearchSpaceList.{i}.UeSpecificDciFormats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UeSpecificDciFormats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UE专用DCI格式</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配置为ue专用搜索空间时，存在的DCI格式。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formats0-0-And-1-0, formats0-1-And-1-1}；</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Device.Services.FAPService.{i}.CellConfig.{i}.NR.RAN.PHY.BWP.BWPDL.{i}.PDSCH.PDSCHTimeDomainResourceAllocationList.{i}.K0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PDCCH到PDSCH调度延迟</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unsignedInt[0:32,0x00000FFF]</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取值范围：{0~32,0x00000FFF}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0x00000FFF表示无效；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Device.Services.FAPService.{i}.CellConfig.{i}.NR.RAN.PHY.BWP.BWPDL.{i}.PDSCH.PDSCHTimeDomainResourceAllocationList.{i}.MappingType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MappingType</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PDSCH映射类型</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PDSCH映射类型。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typeA, typeB }；i取值最大16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Device.Services.FAPService.{i}.CellConfig.{i}.NR.RAN.PHY.BWP.BWPDL.{i}.PDSCH.PDSCHTimeDomainResourceAllocationList.{i}.StartSymbolAndLength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StartSymbolAndLength</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PDSCH起始符号和长度</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PDSCH起始符号和长度。</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取值范围：{0~127}，i取值最大16</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Device.Services.FAPService.{i}.CellConfig.{i}.NR.RAN.PHY.BWP.BWPDL.{i}.PDSCH.DlDmrsMaxLength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DlDmrsMaxLength </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下行DMRS最大符号个数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取值范围:{1，2}</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Device.Services.FAPService.{i}.CellConfig.{i}.NR.RAN.PHY.BWP.BWPDL.{i}.PDSCH.DlAdditionalDmrsPos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DlAdditionalDmrsPos</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下行Additional DMRS位置</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取值范围:{0,1,2，3}</w:t>
            </w:r>
          </w:p>
        </w:tc>
      </w:tr>
      <w:tr>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Device.Services.FAPService.{i}.CellConfig.{i}.NR.RAN.PHY.Antenna.NumOfTxAntenna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NumOfTxAntenna</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发射通道数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小基站发射通道的数量</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nil"/>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Device.Services.FAPService.{i}.CellConfig.{i}.NR.RAN.PHY.Antenna.NumOfRxAntenna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NumOfRxAntenna</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接收通道数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unsignedInt[1:4]</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小基站接收通道的数量</w:t>
            </w:r>
          </w:p>
        </w:tc>
      </w:tr>
      <w:tr>
        <w:tblPrEx>
          <w:tblCellMar>
            <w:top w:w="0" w:type="dxa"/>
            <w:left w:w="108" w:type="dxa"/>
            <w:bottom w:w="0" w:type="dxa"/>
            <w:right w:w="108" w:type="dxa"/>
          </w:tblCellMar>
        </w:tblPrEx>
        <w:trPr>
          <w:trHeight w:val="259" w:hRule="atLeast"/>
        </w:trPr>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MAC参数管理</w:t>
            </w: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Device.Services.FAPService.{i}.CellConfig.{i}.NR.RAN.MAC.UlMIMOAdaption.SwitchBasedOnSrsRI</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SwitchBasedOnSrsRI</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基于SRS RI的UL MIMO自适应开关</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 关闭:0, 打开:1 }  </w:t>
            </w:r>
          </w:p>
        </w:tc>
      </w:tr>
      <w:tr>
        <w:tblPrEx>
          <w:tblCellMar>
            <w:top w:w="0" w:type="dxa"/>
            <w:left w:w="108" w:type="dxa"/>
            <w:bottom w:w="0" w:type="dxa"/>
            <w:right w:w="108" w:type="dxa"/>
          </w:tblCellMar>
        </w:tblPrEx>
        <w:trPr>
          <w:trHeight w:val="259" w:hRule="atLeast"/>
        </w:trPr>
        <w:tc>
          <w:tcPr>
            <w:tcW w:w="669"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RRC参数管理（RRC计时器）</w:t>
            </w: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Device.Services.FAPService.{i}.CellConfig.{i}.NR.RAN.RRCTimers.T300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T300定时器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连续RRCConnectionRequest传输之间的时间间隔,ms100对应100，ms200对应200，依次类推。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{ms100,ms200, ms300,ms400, ms600,ms1000, ms1500,ms2000}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Device.Services.FAPService.{i}.CellConfig.{i}.NR.RAN.RRCTimers.T301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T301定时器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连续RRCConnectionReestablishmentRe</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quest传输之间的时间间隔，ms100对应100，ms200对应200，依次类推。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{ms100,ms200,ms300,ms400, ms600,ms1000, ms1500,ms2000}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Device.Services.FAPService.{i}.CellConfig.{i}.NR.RAN.RRCTimers.T302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T302</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T302定时器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RRCConnectionReject 之后小区重选或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RRConnectionSetup等待的时间</w:t>
            </w:r>
          </w:p>
        </w:tc>
      </w:tr>
      <w:tr>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Device.Services.FAPService.{i}.CellConfig.{i}.NR.RAN.RRCTimers.T304</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T304</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T304定时器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在MCG中，T304定时器为切换失败定时器；在SCG中，T304定时器为同步失败定时器。</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Device.Services.FAPService.{i}.CellConfig.{i}.NR.RAN.RRCTimers.T310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T310定时器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RLF声明定时器，ms0对应0，ms50对应50，依次类推。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取值范围：[0~6]</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{ms0,ms50,ms100，ms200,ms500,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ms1000, ms2000}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Device.Services.FAPService.{i}.CellConfig.{i}.NR.RAN.RRCTimers.T311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T311定时器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RLF恢复定时器，ms1000对应1000，ms3000对应3000，依次类推。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取值范围：[0~6]</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{ms1000,ms3000, ms5000,ms10000, ms15000,ms20000, ms30000}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Device.Services.FAPService.{i}.CellConfig.{i}.NR.RAN.RRCTimers.T320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T320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T320定时器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小区重选定时器，取值范围：[0~6] [min5,min10,min20,min30,min60,min120,min180]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Device.Services.FAPService.{i}.CellConfig.{i}.NR.RAN.RRCTimers.N310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N310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N310定时器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从低层收到的”out-of-sync” 标志的连续数目，会触发T310定时器。对应TS 38.331 中n310参数，n1对应1，n2对应2，依次类推，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{n1,n2,n3,n4,n6,n8,n10, n20}</w:t>
            </w:r>
          </w:p>
        </w:tc>
      </w:tr>
      <w:tr>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Device.Services.FAPService.{i}.CellConfig.{i}.NR.RAN.RRCTimers.N311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N311</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N311定时器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从低层收到的”in-sync”标志的连续数目，会停止T310定时器。对应TS 38.331的n311参数，n1对应1，n2对应2，依次类推，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{n1,n2,n3,n4,n5,n6,n8,n10}</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Device.Services.FAPService.{i}.CellConfig.{i}.NR.RAN.RRCTimers.T319</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T319</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T319定时器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当UE发送RRC恢复请求时开启的定时器。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分别代表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ms100,ms200,ms300,ms400, ms600,ms1000, ms1500,ms2000}</w:t>
            </w:r>
          </w:p>
        </w:tc>
      </w:tr>
      <w:tr>
        <w:tblPrEx>
          <w:tblCellMar>
            <w:top w:w="0" w:type="dxa"/>
            <w:left w:w="108" w:type="dxa"/>
            <w:bottom w:w="0" w:type="dxa"/>
            <w:right w:w="108" w:type="dxa"/>
          </w:tblCellMar>
        </w:tblPrEx>
        <w:trPr>
          <w:trHeight w:val="259" w:hRule="atLeast"/>
        </w:trPr>
        <w:tc>
          <w:tcPr>
            <w:tcW w:w="66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RNAU周期</w:t>
            </w: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Device.Services.FAPService.{i}.CellConfig.{i}.NR.RAN.RRCTimers.T380</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T380</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T380定时器</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RNAU周期，min5对应5，min10对应10，以此类推。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min5, min10, min20, min30, min60, min120, min360, min720}</w:t>
            </w:r>
          </w:p>
        </w:tc>
      </w:tr>
      <w:tr>
        <w:tblPrEx>
          <w:tblCellMar>
            <w:top w:w="0" w:type="dxa"/>
            <w:left w:w="108" w:type="dxa"/>
            <w:bottom w:w="0" w:type="dxa"/>
            <w:right w:w="108" w:type="dxa"/>
          </w:tblCellMar>
        </w:tblPrEx>
        <w:trPr>
          <w:trHeight w:val="259" w:hRule="atLeast"/>
        </w:trPr>
        <w:tc>
          <w:tcPr>
            <w:tcW w:w="669"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RRC参数管理</w:t>
            </w:r>
            <w:r>
              <w:rPr>
                <w:rFonts w:hint="eastAsia" w:ascii="宋体" w:hAnsi="宋体" w:cs="宋体"/>
                <w:b/>
                <w:bCs/>
                <w:color w:val="000000"/>
                <w:kern w:val="0"/>
                <w:sz w:val="18"/>
                <w:szCs w:val="18"/>
              </w:rPr>
              <w:br w:type="textWrapping"/>
            </w:r>
            <w:r>
              <w:rPr>
                <w:rFonts w:hint="eastAsia" w:ascii="宋体" w:hAnsi="宋体" w:cs="宋体"/>
                <w:b/>
                <w:bCs/>
                <w:color w:val="000000"/>
                <w:kern w:val="0"/>
                <w:sz w:val="18"/>
                <w:szCs w:val="18"/>
              </w:rPr>
              <w:t>（接入管理）</w:t>
            </w: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Device.Services.FAPService.{i}.CellConfig.{i}.NR.RAN.RRC.AccessMgmt.ConnectedUserNum</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ConnectedUserNum</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连接用户数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对应小区的RRC连接最大用户数范围内配置</w:t>
            </w:r>
          </w:p>
        </w:tc>
      </w:tr>
      <w:tr>
        <w:tblPrEx>
          <w:tblCellMar>
            <w:top w:w="0" w:type="dxa"/>
            <w:left w:w="108" w:type="dxa"/>
            <w:bottom w:w="0" w:type="dxa"/>
            <w:right w:w="108" w:type="dxa"/>
          </w:tblCellMar>
        </w:tblPrEx>
        <w:trPr>
          <w:trHeight w:val="259" w:hRule="atLeast"/>
        </w:trPr>
        <w:tc>
          <w:tcPr>
            <w:tcW w:w="669" w:type="dxa"/>
            <w:vMerge w:val="continue"/>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Device.Services.FAPService.{i}.CellConfig.{i}.NR.RAN.RRC.AccessMgmt.ActivedUserNum</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ActivedUserNum</w:t>
            </w:r>
          </w:p>
        </w:tc>
        <w:tc>
          <w:tcPr>
            <w:tcW w:w="111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激活用户数</w:t>
            </w:r>
          </w:p>
        </w:tc>
        <w:tc>
          <w:tcPr>
            <w:tcW w:w="72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对应小区的RRC激活最大用户数范围内配置</w:t>
            </w:r>
          </w:p>
        </w:tc>
      </w:tr>
      <w:tr>
        <w:tblPrEx>
          <w:tblCellMar>
            <w:top w:w="0" w:type="dxa"/>
            <w:left w:w="108" w:type="dxa"/>
            <w:bottom w:w="0" w:type="dxa"/>
            <w:right w:w="108" w:type="dxa"/>
          </w:tblCellMar>
        </w:tblPrEx>
        <w:trPr>
          <w:trHeight w:val="259" w:hRule="atLeast"/>
        </w:trPr>
        <w:tc>
          <w:tcPr>
            <w:tcW w:w="669" w:type="dxa"/>
            <w:vMerge w:val="restart"/>
            <w:tcBorders>
              <w:top w:val="single" w:color="auto" w:sz="4" w:space="0"/>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PDCP参数管理</w:t>
            </w: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Device.Services.FAPService.{i}.CellConfig.{i}.NR.RAN.PDCP.{i}.QCI</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QCI</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PDCP层UL SN号长度中的QCI</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PDCP层UL SN号长度，参考TS38.331的 6.3.2节PDCP-Config：pdcp-SN-SizeUL参数</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取值范围说明：List of structure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QCI: Integer, //  QCI or  mapped 5QI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PdcpSnSize: ENUMERATED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PdcpSnSize::=ENUMERATED {len12bits, len18bits}</w:t>
            </w:r>
          </w:p>
          <w:p>
            <w:pPr>
              <w:widowControl/>
              <w:jc w:val="left"/>
              <w:rPr>
                <w:rFonts w:hint="eastAsia" w:ascii="宋体" w:hAnsi="宋体" w:cs="宋体"/>
                <w:color w:val="000000"/>
                <w:kern w:val="0"/>
                <w:sz w:val="18"/>
                <w:szCs w:val="18"/>
              </w:rPr>
            </w:pP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Device.Services.FAPService.{i}.CellConfig.{i}.NR.RAN.PDCP.{i}.PdcpSnSizeUL</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PdcpSnSizeUL</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PDCP层UL SN号长度中的SN长度</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unsignedInt[12,18]</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PDCP层UL SN号长度，参考TS38.331的 6.3.2节PDCP-Config：pdcp-SN-SizeUL参数</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取值范围说明：List of structure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QCI: Integer, //  QCI or  mapped 5QI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PdcpSnSize: ENUMERATED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PdcpSnSize::=ENUMERATED {len12bits, len18bits},12对应len12bits</w:t>
            </w: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Device.Services.FAPService.{i}.CellConfig.{i}.NR.RAN.PDCP.{i}.PdcpSnSizeDL</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PdcpSnSizeDL</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PDCP层DL SN号长度中的SN长度</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unsignedInt[12,18]</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PDCP层DL SN号长度，参考TS38.331的 6.3.2节PDCP-Config：pdcp-SN-SizeUL参数</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取值范围说明：List of structure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QCI: Integer, //  QCI or  mapped 5QI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PdcpSnSize: ENUMERATED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PdcpSnSize::=ENUMERATED {len12bits, len18bits}</w:t>
            </w:r>
          </w:p>
          <w:p>
            <w:pPr>
              <w:widowControl/>
              <w:jc w:val="left"/>
              <w:rPr>
                <w:rFonts w:hint="eastAsia" w:ascii="宋体" w:hAnsi="宋体" w:cs="宋体"/>
                <w:color w:val="000000"/>
                <w:kern w:val="0"/>
                <w:sz w:val="18"/>
                <w:szCs w:val="18"/>
              </w:rPr>
            </w:pP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Device.Services.FAPService.{i}.CellConfig.{i}.NR.RAN.PDCP.{i}.DiscardTimer</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DiscardTimer</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PDCP层SDU丢弃时间</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unsignedInt[10,20,30,40,50,60,75,100,150,200,250,300,500,750,1500,0x0000FFFF]</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PDCP SDU的丢弃时间，参考TS38.331的 6.3.2节PDCP-Config： discardTimer参数</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取值范围: </w:t>
            </w:r>
          </w:p>
          <w:p>
            <w:pPr>
              <w:widowControl/>
              <w:jc w:val="left"/>
              <w:rPr>
                <w:rFonts w:hint="eastAsia" w:ascii="宋体" w:hAnsi="宋体" w:cs="宋体"/>
                <w:color w:val="000000"/>
                <w:kern w:val="0"/>
                <w:sz w:val="18"/>
                <w:szCs w:val="18"/>
              </w:rPr>
            </w:pP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取值范围说明：List of structure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QCI: Integer,</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DiscardTimer: ENUMERATED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DiscardTimer::= ENUMERATED {ms10, ms20, ms30, ms40, ms50, ms60, ms75, ms100, ms150, ms200,ms250, ms300, ms500, ms750, ms1500, infinity} </w:t>
            </w:r>
          </w:p>
        </w:tc>
      </w:tr>
      <w:tr>
        <w:tblPrEx>
          <w:tblCellMar>
            <w:top w:w="0" w:type="dxa"/>
            <w:left w:w="108" w:type="dxa"/>
            <w:bottom w:w="0" w:type="dxa"/>
            <w:right w:w="108" w:type="dxa"/>
          </w:tblCellMar>
        </w:tblPrEx>
        <w:trPr>
          <w:trHeight w:val="259" w:hRule="atLeast"/>
        </w:trPr>
        <w:tc>
          <w:tcPr>
            <w:tcW w:w="669" w:type="dxa"/>
            <w:vMerge w:val="restart"/>
            <w:tcBorders>
              <w:top w:val="single" w:color="auto" w:sz="4" w:space="0"/>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RLC参数管理</w:t>
            </w: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Device.Services.FAPService.{i}.CellConfig.{i}.NR.RAN.RLC.{i}.QCI</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QCI</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RLC层QCI</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RLC传输模式，对应协议RLC-Config参数,</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取值范围说明：List of structure </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QCI: ENUMERATED，</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Mode: ENUMERATED</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QCI::=   ENUMERATED{1，2，3，4，5，6，7，8，9，OTHER，...}</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注：QCI 根据NSA 或SA 填写 QCI 或 映射的5QI。</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Mode::= ENUMERATED {AM,UM} </w:t>
            </w: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Device.Services.FAPService.{i}.CellConfig.{i}.NR.RAN.RLC.{i}.RlcMode</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RlcMode</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RLC工作模式</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unsignedInt[1,2]</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RLC传输模式，对应协议RLC-Config参数,ENUMERATED {1:AM:2:UM} </w:t>
            </w: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Device.Services.FAPService.{i}.CellConfig.{i}.NR.RAN.RLC.{i}.DlRlcSnSize</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DlRlcSnSize</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下行RLC序列号长度</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unsignedInt[6,12,18]</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gNodeB和UE的下行RLC序列号长度</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DlRlcSnSize::=ENUMERATED {len6bits,len12bits, len18bits}</w:t>
            </w: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Device.Services.FAPService.{i}.CellConfig.{i}.NR.RAN.RLC.{i}.UlRlcSnSize</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UlRlcSnSize</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上行RLC序列号长度</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unsignedInt[6,12,18]</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gNodeB和UE的上行RLC序列号长度UlRlcSnSize::=ENUMERATED {len6bits,len12bits, len18bits}</w:t>
            </w:r>
          </w:p>
        </w:tc>
      </w:tr>
      <w:tr>
        <w:tblPrEx>
          <w:tblCellMar>
            <w:top w:w="0" w:type="dxa"/>
            <w:left w:w="108" w:type="dxa"/>
            <w:bottom w:w="0" w:type="dxa"/>
            <w:right w:w="108" w:type="dxa"/>
          </w:tblCellMar>
        </w:tblPrEx>
        <w:trPr>
          <w:trHeight w:val="259" w:hRule="atLeast"/>
        </w:trPr>
        <w:tc>
          <w:tcPr>
            <w:tcW w:w="669" w:type="dxa"/>
            <w:vMerge w:val="continue"/>
            <w:tcBorders>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p>
        </w:tc>
        <w:tc>
          <w:tcPr>
            <w:tcW w:w="57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Device.Services.FAPService.{i}.CellConfig.{i}.NR.RAN.RLC.{i}.GNBRlcReassemblyTimer</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GNBRlcReassemblyTimer</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GNBRLC重组定时器</w:t>
            </w:r>
          </w:p>
        </w:tc>
        <w:tc>
          <w:tcPr>
            <w:tcW w:w="7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M</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RW</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unsignedInt[0,5,10,15,20,25,30,35,40,45,50,55,60,65,70,75,80,85,90,95,100,110,120,130,140,150,160,170,180,190,200,0x0000FFFF]</w:t>
            </w:r>
          </w:p>
        </w:tc>
        <w:tc>
          <w:tcPr>
            <w:tcW w:w="29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该参数表示RLC重组定时器的时长</w:t>
            </w:r>
          </w:p>
          <w:p>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取值：0:ms0, 5:ms5, 10:ms10, 15:ms15, 20:ms20, 25:ms25, 30:ms30, 35:ms35,40:ms40, 45:ms45, 50:ms50, 55:ms55, 60:ms60,65:ms65,70:ms70,75:ms75,80:ms80, 85:ms85, 90:ms90, 95:ms95,100:ms100, 110:ms110,120:ms120, 130:ms130, 140:ms140, 150:ms150, 160:ms160, 170:ms170,180:ms180, 190:ms190, 200:ms200,0x0000FFFF:spare1</w:t>
            </w:r>
          </w:p>
        </w:tc>
      </w:tr>
    </w:tbl>
    <w:p>
      <w:pPr>
        <w:pStyle w:val="3"/>
        <w:spacing w:line="360" w:lineRule="auto"/>
        <w:ind w:firstLine="0" w:firstLineChars="0"/>
        <w:rPr>
          <w:rFonts w:ascii="黑体" w:hAnsi="黑体" w:eastAsia="黑体"/>
          <w:sz w:val="21"/>
          <w:szCs w:val="21"/>
        </w:rPr>
      </w:pPr>
    </w:p>
    <w:p>
      <w:pPr>
        <w:pStyle w:val="4"/>
        <w:rPr>
          <w:rFonts w:ascii="黑体" w:hAnsi="黑体" w:eastAsia="黑体"/>
          <w:b w:val="0"/>
          <w:bCs w:val="0"/>
          <w:sz w:val="21"/>
          <w:szCs w:val="21"/>
        </w:rPr>
      </w:pPr>
      <w:bookmarkStart w:id="26" w:name="_Toc89684815"/>
      <w:r>
        <w:rPr>
          <w:rFonts w:hint="eastAsia" w:ascii="黑体" w:hAnsi="黑体" w:eastAsia="黑体"/>
          <w:b w:val="0"/>
          <w:bCs w:val="0"/>
          <w:sz w:val="21"/>
          <w:szCs w:val="21"/>
        </w:rPr>
        <w:t>邻区参数</w:t>
      </w:r>
      <w:bookmarkEnd w:id="26"/>
    </w:p>
    <w:p>
      <w:pPr>
        <w:jc w:val="center"/>
      </w:pPr>
      <w:r>
        <w:rPr>
          <w:rFonts w:hint="eastAsia"/>
        </w:rPr>
        <w:t>表1</w:t>
      </w:r>
      <w:r>
        <w:t>2</w:t>
      </w:r>
      <w:r>
        <w:rPr>
          <w:rFonts w:hint="eastAsia"/>
        </w:rPr>
        <w:t>：邻区参数</w:t>
      </w:r>
    </w:p>
    <w:tbl>
      <w:tblPr>
        <w:tblStyle w:val="22"/>
        <w:tblW w:w="14322" w:type="dxa"/>
        <w:tblInd w:w="103" w:type="dxa"/>
        <w:tblLayout w:type="fixed"/>
        <w:tblCellMar>
          <w:top w:w="0" w:type="dxa"/>
          <w:left w:w="108" w:type="dxa"/>
          <w:bottom w:w="0" w:type="dxa"/>
          <w:right w:w="108" w:type="dxa"/>
        </w:tblCellMar>
      </w:tblPr>
      <w:tblGrid>
        <w:gridCol w:w="828"/>
        <w:gridCol w:w="5556"/>
        <w:gridCol w:w="1134"/>
        <w:gridCol w:w="1134"/>
        <w:gridCol w:w="629"/>
        <w:gridCol w:w="789"/>
        <w:gridCol w:w="1275"/>
        <w:gridCol w:w="2977"/>
      </w:tblGrid>
      <w:tr>
        <w:tblPrEx>
          <w:tblCellMar>
            <w:top w:w="0" w:type="dxa"/>
            <w:left w:w="108" w:type="dxa"/>
            <w:bottom w:w="0" w:type="dxa"/>
            <w:right w:w="108" w:type="dxa"/>
          </w:tblCellMar>
        </w:tblPrEx>
        <w:trPr>
          <w:trHeight w:val="259" w:hRule="atLeast"/>
        </w:trPr>
        <w:tc>
          <w:tcPr>
            <w:tcW w:w="828"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556"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62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789"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27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297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59" w:hRule="atLeast"/>
        </w:trPr>
        <w:tc>
          <w:tcPr>
            <w:tcW w:w="828"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5G邻区参数管理</w:t>
            </w: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Device.Services.FAPService.{i}.CellConfig.{i}.NR.RAN.NeighborList.NRCell.{i}.PLMNID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PLMNID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邻区PLMN ID</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邻区PLMN ID，由MCC和MNC组成</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Device.Services.FAPService.{i}.CellConfig.{i}.NR.RAN.NeighborList.NRCell.{i}.CID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邻区CID</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unsignedLong[1:68719476735]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邻区CID（36bit）</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Device.Services.FAPService.{i}.CellConfig.{i}.NR.RAN.NeighborList.NRCell.{i}.gNBIdLength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gNBIdLength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邻区gNB标识长度</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unsignedInt[22:32]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gNB标识长度</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Device.Services.FAPService.{i}.CellConfig.{i}.NR.RAN.NeighborList.NRCell.{i}.gNBId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gNBId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邻区gNB标识</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unsignedInt[0:4294967295</w:t>
            </w:r>
            <w:r>
              <w:rPr>
                <w:rFonts w:hint="eastAsia" w:ascii="MS Mincho" w:hAnsi="MS Mincho" w:eastAsia="MS Mincho" w:cs="MS Mincho"/>
                <w:color w:val="000000"/>
                <w:kern w:val="0"/>
                <w:sz w:val="18"/>
                <w:szCs w:val="18"/>
              </w:rPr>
              <w:t>‬</w:t>
            </w:r>
            <w:r>
              <w:rPr>
                <w:rFonts w:hint="eastAsia" w:ascii="宋体" w:hAnsi="宋体" w:cs="宋体"/>
                <w:color w:val="000000"/>
                <w:kern w:val="0"/>
                <w:sz w:val="18"/>
                <w:szCs w:val="18"/>
              </w:rPr>
              <w:t>]</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小区gNBiD(32bit)</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Device.Services.FAPService.{i}.CellConfig.{i}.NR.RAN.NeighborList.NRCell.{i}.NRCarrierARFCN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NRCarrierARFCN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NR邻区载频的ARFCN</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unsignedInt[0:3279165]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NR邻区载频的ARFCN</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Device.Services.FAPService.{i}.CellConfig.{i}.NR.RAN.NeighborList.NRCell.{i}.ssbFrequency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ssbFrequency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SSB频点号</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unsignedInt[0:3279165]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NR邻区载频的SSB ARFCN</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Device.Services.FAPService.{i}.CellConfig.{i}.NR.RAN.NeighborList.NRCell.{i}.ssbSubcarrierSpacing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ssbSubcarrierSpacing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SSB子载波间隔</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子载波间隔，取值范围：{0, 1, 2, 3, 4}</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0代表kHz15，1代表kHz30，2代表kHz60，3代表kHz120，4代表kHz240.</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Device.Services.FAPService.{i}.CellConfig.{i}.NR.RAN.NeighborList.NRCell.{i}.PhyCellID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PhyCellID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邻区物理小区ID</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NR邻区PCI</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Device.Services.FAPService.{i}.CellConfig.{i}.NR.RAN.NeighborList.NRCell.{i}.TAC</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TAC</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邻区TAC</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unsignedInt[0:16777215]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TAC（24bit）</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Device.Services.FAPService.{i}.CellConfig.{i}.NR.RAN.NeighborList.NRCell.{i}.Qoffset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w:t>
            </w:r>
            <w:r>
              <w:rPr>
                <w:rFonts w:hint="eastAsia" w:ascii="宋体" w:hAnsi="宋体" w:cs="宋体"/>
                <w:color w:val="000000"/>
                <w:kern w:val="0"/>
                <w:sz w:val="18"/>
                <w:szCs w:val="18"/>
                <w:lang w:val="en-US" w:eastAsia="zh-CN"/>
              </w:rPr>
              <w:t>o</w:t>
            </w:r>
            <w:r>
              <w:rPr>
                <w:rFonts w:hint="eastAsia" w:ascii="宋体" w:hAnsi="宋体" w:cs="宋体"/>
                <w:color w:val="000000"/>
                <w:kern w:val="0"/>
                <w:sz w:val="18"/>
                <w:szCs w:val="18"/>
              </w:rPr>
              <w:t>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小区特定偏移量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int[-24:-8, -6:6, 8:24]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邻区的小区特定偏移量，-6到6区间的步长为1dB，其他区间步长为2dB</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Device.Services.FAPService.{i}.CellConfig.{i}.NR.RAN.NeighborList.NRCell.{i}.QRxLevMinOffsetCell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小区专用最小接收电平偏移量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取值范围：(1..8,0x0000000F)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0x0000000F代表这个参数不存在</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Device.Services.FAPService.{i}.CellConfig.{i}.NR.RAN.NeighborList.NRCell.{i}.QQualMinOffsetCell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QQualMinOffsetCell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小区专用最低接入信号质量偏移值</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 0x0000000F)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0x0000000F代表这个参数不存在</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Device.Services.FAPService.{i}.CellConfig.{i}.NR.RAN.NeighborList.NRCell.{i}.CIO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CIO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小区独立偏移量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int[-24:-8, -6:6, 8:24]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邻区的小区独立偏移量，-6到6区间的步长为1dB，其他区间步长为2dB</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Device.Services.FAPService.{i}.CellConfig.{i}.NR.RAN.NeighborList.NRCell.{i}.Blacklisted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Blacklisted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禁止切换标识</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邻小区是否可以被UE作为切换目标，</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1=禁止向该小区切换；</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0=允许向该小区切换</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Device.Services.FAPService.{i}.CellConfig.{i}.NR.RAN.NeighborList.NRCell.{i}.NoHOEnable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NoHOEnable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禁止切换标识</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邻小区是否可以被UE作为切换目标，</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1=禁止向该小区切换；</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0=允许向该小区切换</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Device.Services.FAPService.{i}.CellConfig.{i}.NR.RAN.NeighborList.NRCell.{i}.NoRemoveEnable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NoRemoveEnable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禁止删除标识</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该标志位被设置后， 该邻区不允许被删除，</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1=禁止删除该邻区；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0=允许删除该邻区</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Device.Services.FAPService.{i}.CellConfig.{i}.NR.RAN.NeighborList.NRCell.{i}.NoXnEnable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NoXnEnable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禁止建立Xn标识</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该参数表示是否允许本小区与该邻区是否可建立Xn连接。1=禁止向该小区建立Xn连接；0=允许向该小区建立Xn连接</w:t>
            </w:r>
          </w:p>
        </w:tc>
      </w:tr>
      <w:tr>
        <w:tblPrEx>
          <w:tblCellMar>
            <w:top w:w="0" w:type="dxa"/>
            <w:left w:w="108" w:type="dxa"/>
            <w:bottom w:w="0" w:type="dxa"/>
            <w:right w:w="108" w:type="dxa"/>
          </w:tblCellMar>
        </w:tblPrEx>
        <w:trPr>
          <w:trHeight w:val="259" w:hRule="atLeast"/>
        </w:trPr>
        <w:tc>
          <w:tcPr>
            <w:tcW w:w="828" w:type="dxa"/>
            <w:tcBorders>
              <w:top w:val="nil"/>
              <w:left w:val="single" w:color="auto" w:sz="4" w:space="0"/>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w:t>
            </w: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Device.Services.FAPService.{i}.CellConfig.{i}.NR.RAN.NeighborList.LTECell.{i}.TcRAT</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TcRAT</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LTE小区制式</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改参数用于指示该邻区关系对应的LTE邻区制式，{1:TDD,2:FDD}。</w:t>
            </w:r>
          </w:p>
        </w:tc>
      </w:tr>
      <w:tr>
        <w:tblPrEx>
          <w:tblCellMar>
            <w:top w:w="0" w:type="dxa"/>
            <w:left w:w="108" w:type="dxa"/>
            <w:bottom w:w="0" w:type="dxa"/>
            <w:right w:w="108" w:type="dxa"/>
          </w:tblCellMar>
        </w:tblPrEx>
        <w:trPr>
          <w:trHeight w:val="259" w:hRule="atLeast"/>
        </w:trPr>
        <w:tc>
          <w:tcPr>
            <w:tcW w:w="828"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LTE邻区参数管理</w:t>
            </w: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Device.Services.FAPService.{i}.CellConfig.{i}.NR.RAN.NeighborList.LTECell.{i}.PLMNID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PLMNID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邻区PLMN ID</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邻区PLMN ID，由MCC和MNC组成</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Device.Services.FAPService.{i}.CellConfig.{i}.NR.RAN.NeighborList.LTECell.{i}.CID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邻区CID</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unsignedInt[1:268435455]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邻区CID（28bit）</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Device.Services.FAPService.{i}.CellConfig.{i}.NR.RAN.NeighborList.LTECell.{i}.EUTRACarrierARFCN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EUTRACarrierARFCN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邻区EARFCN</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unsignedInt[0:262143]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邻区载频的EARFCN</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Device.Services.FAPService.{i}.CellConfig.{i}.NR.RAN.NeighborList.LTECell.{i}.PhyCellID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PhyCellID</w:t>
            </w:r>
          </w:p>
        </w:tc>
        <w:tc>
          <w:tcPr>
            <w:tcW w:w="1134" w:type="dxa"/>
            <w:tcBorders>
              <w:top w:val="nil"/>
              <w:left w:val="nil"/>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邻区PCI</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unsignedInt[0:503]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4G邻区PCI</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Device.Services.FAPService.{i}.CellConfig.{i}.NR.RAN.NeighborList.LTECell.{i}.Q</w:t>
            </w:r>
            <w:r>
              <w:rPr>
                <w:rFonts w:hint="eastAsia" w:ascii="宋体" w:hAnsi="宋体" w:cs="宋体"/>
                <w:color w:val="000000"/>
                <w:kern w:val="0"/>
                <w:sz w:val="18"/>
                <w:szCs w:val="18"/>
                <w:lang w:val="en-US" w:eastAsia="zh-CN"/>
              </w:rPr>
              <w:t>o</w:t>
            </w:r>
            <w:r>
              <w:rPr>
                <w:rFonts w:hint="eastAsia" w:ascii="宋体" w:hAnsi="宋体" w:cs="宋体"/>
                <w:color w:val="000000"/>
                <w:kern w:val="0"/>
                <w:sz w:val="18"/>
                <w:szCs w:val="18"/>
              </w:rPr>
              <w:t>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Qoffset</w:t>
            </w:r>
          </w:p>
        </w:tc>
        <w:tc>
          <w:tcPr>
            <w:tcW w:w="1134"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小区特定偏移量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int[-24:-8, -6:6, 8:24]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邻区的小区特定偏移量，-6到6区间的步长为1dB，其他区间步长为2dB</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Device.Services.FAPService.{i}.CellConfig.{i}.NR.RAN.NeighborList.LTECell.{i}.QRxLevMinOffsetCell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小区专用最小接收电平偏移量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取值范围：(1..8,0x0000000F)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0x0000000F代表这个参数不存在</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Device.Services.FAPService.{i}.CellConfig.{i}.NR.RAN.NeighborList.LTECell.{i}.QQualMinOffsetCell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QQualMinOffsetCell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小区专用最低接入信号质量偏移值</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 0x0000000F)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0x0000000F代表这个参数不存在</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Device.Services.FAPService.{i}.CellConfig.{i}.NR.RAN.NeighborList.LTECell.{i}.CIO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CIO</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小区独立偏移量</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int[-24:-8, -6:6, 8:24]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邻区的小区独立偏移量，-6到6区间的步长为1dB，其他区间步长为2dB</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Device.Services.FAPService.{i}.CellConfig.{i}.NR.RAN.NeighborList.LTECell.{i}.Blacklisted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Blacklisted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禁止切换标识</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邻小区是否可以被UE作为切换目标，</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1=禁止向该小区切换；</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0=允许向该小区切换</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Device.Services.FAPService.{i}.CellConfig.{i}.NR.RAN.NeighborList.LTECell.{i}.TAC</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TAC</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邻区TAC</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unsignedInt[0:65535]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TAC（16bit）</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Device.Services.FAPService.{i}.CellConfig.{i}.NR.RAN.NeighborList.LTECell.{i}.EnbType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EnbType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邻区基站类型</w:t>
            </w:r>
          </w:p>
        </w:tc>
        <w:tc>
          <w:tcPr>
            <w:tcW w:w="62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基站类型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Macro cell=0,Short Micro cell=1,Long Micro cell=2</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Device.Services.FAPService.{i}.CellConfig.{i}.NR.RAN.NeighborList.LTECell.{i}.NoHOEnable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NoHOEnable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禁止切换标识</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boolean</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邻小区是否可以被UE作为切换目标，</w:t>
            </w:r>
            <w:r>
              <w:rPr>
                <w:rFonts w:hint="eastAsia" w:ascii="宋体" w:hAnsi="宋体" w:cs="宋体"/>
                <w:kern w:val="0"/>
                <w:sz w:val="18"/>
                <w:szCs w:val="18"/>
              </w:rPr>
              <w:br w:type="textWrapping"/>
            </w:r>
            <w:r>
              <w:rPr>
                <w:rFonts w:hint="eastAsia" w:ascii="宋体" w:hAnsi="宋体" w:cs="宋体"/>
                <w:kern w:val="0"/>
                <w:sz w:val="18"/>
                <w:szCs w:val="18"/>
              </w:rPr>
              <w:t>1=禁止向该小区切换；</w:t>
            </w:r>
            <w:r>
              <w:rPr>
                <w:rFonts w:hint="eastAsia" w:ascii="宋体" w:hAnsi="宋体" w:cs="宋体"/>
                <w:kern w:val="0"/>
                <w:sz w:val="18"/>
                <w:szCs w:val="18"/>
              </w:rPr>
              <w:br w:type="textWrapping"/>
            </w:r>
            <w:r>
              <w:rPr>
                <w:rFonts w:hint="eastAsia" w:ascii="宋体" w:hAnsi="宋体" w:cs="宋体"/>
                <w:kern w:val="0"/>
                <w:sz w:val="18"/>
                <w:szCs w:val="18"/>
              </w:rPr>
              <w:t>0=允许向该小区切换</w:t>
            </w:r>
          </w:p>
        </w:tc>
      </w:tr>
      <w:tr>
        <w:tblPrEx>
          <w:tblCellMar>
            <w:top w:w="0" w:type="dxa"/>
            <w:left w:w="108" w:type="dxa"/>
            <w:bottom w:w="0" w:type="dxa"/>
            <w:right w:w="108" w:type="dxa"/>
          </w:tblCellMar>
        </w:tblPrEx>
        <w:trPr>
          <w:trHeight w:val="259" w:hRule="atLeast"/>
        </w:trPr>
        <w:tc>
          <w:tcPr>
            <w:tcW w:w="828"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color w:val="000000"/>
                <w:kern w:val="0"/>
                <w:sz w:val="18"/>
                <w:szCs w:val="18"/>
              </w:rPr>
            </w:pPr>
          </w:p>
        </w:tc>
        <w:tc>
          <w:tcPr>
            <w:tcW w:w="5556"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Device.Services.FAPService.{i}.CellConfig.{i}.NR.RAN.NeighborList.LTECell.{i}.NoRemoveEnable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NoRemove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禁止删除标识</w:t>
            </w:r>
          </w:p>
        </w:tc>
        <w:tc>
          <w:tcPr>
            <w:tcW w:w="62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789"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boolean</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该标志位被设置后， 该邻区不允许被删除，</w:t>
            </w:r>
            <w:r>
              <w:rPr>
                <w:rFonts w:hint="eastAsia" w:ascii="宋体" w:hAnsi="宋体" w:cs="宋体"/>
                <w:kern w:val="0"/>
                <w:sz w:val="18"/>
                <w:szCs w:val="18"/>
              </w:rPr>
              <w:br w:type="textWrapping"/>
            </w:r>
            <w:r>
              <w:rPr>
                <w:rFonts w:hint="eastAsia" w:ascii="宋体" w:hAnsi="宋体" w:cs="宋体"/>
                <w:kern w:val="0"/>
                <w:sz w:val="18"/>
                <w:szCs w:val="18"/>
              </w:rPr>
              <w:t>1=禁止删除该邻区；</w:t>
            </w:r>
            <w:r>
              <w:rPr>
                <w:rFonts w:hint="eastAsia" w:ascii="宋体" w:hAnsi="宋体" w:cs="宋体"/>
                <w:kern w:val="0"/>
                <w:sz w:val="18"/>
                <w:szCs w:val="18"/>
              </w:rPr>
              <w:br w:type="textWrapping"/>
            </w:r>
            <w:r>
              <w:rPr>
                <w:rFonts w:hint="eastAsia" w:ascii="宋体" w:hAnsi="宋体" w:cs="宋体"/>
                <w:kern w:val="0"/>
                <w:sz w:val="18"/>
                <w:szCs w:val="18"/>
              </w:rPr>
              <w:t>0=允许删除该邻区</w:t>
            </w:r>
          </w:p>
        </w:tc>
      </w:tr>
    </w:tbl>
    <w:p>
      <w:pPr>
        <w:jc w:val="left"/>
      </w:pPr>
    </w:p>
    <w:p>
      <w:pPr>
        <w:pStyle w:val="4"/>
        <w:rPr>
          <w:rFonts w:ascii="黑体" w:hAnsi="黑体" w:eastAsia="黑体"/>
          <w:b w:val="0"/>
          <w:bCs w:val="0"/>
          <w:sz w:val="21"/>
          <w:szCs w:val="21"/>
        </w:rPr>
      </w:pPr>
      <w:bookmarkStart w:id="27" w:name="_Toc89684816"/>
      <w:r>
        <w:rPr>
          <w:rFonts w:hint="eastAsia" w:ascii="黑体" w:hAnsi="黑体" w:eastAsia="黑体"/>
          <w:b w:val="0"/>
          <w:bCs w:val="0"/>
          <w:sz w:val="21"/>
          <w:szCs w:val="21"/>
        </w:rPr>
        <w:t>移动性参数</w:t>
      </w:r>
      <w:bookmarkEnd w:id="27"/>
    </w:p>
    <w:p>
      <w:pPr>
        <w:jc w:val="center"/>
      </w:pPr>
      <w:r>
        <w:rPr>
          <w:rFonts w:hint="eastAsia"/>
        </w:rPr>
        <w:t>表1</w:t>
      </w:r>
      <w:r>
        <w:t>3</w:t>
      </w:r>
      <w:r>
        <w:rPr>
          <w:rFonts w:hint="eastAsia"/>
        </w:rPr>
        <w:t>：移动性参数</w:t>
      </w:r>
    </w:p>
    <w:tbl>
      <w:tblPr>
        <w:tblStyle w:val="22"/>
        <w:tblW w:w="14322" w:type="dxa"/>
        <w:tblInd w:w="103" w:type="dxa"/>
        <w:tblLayout w:type="fixed"/>
        <w:tblCellMar>
          <w:top w:w="0" w:type="dxa"/>
          <w:left w:w="108" w:type="dxa"/>
          <w:bottom w:w="0" w:type="dxa"/>
          <w:right w:w="108" w:type="dxa"/>
        </w:tblCellMar>
      </w:tblPr>
      <w:tblGrid>
        <w:gridCol w:w="856"/>
        <w:gridCol w:w="5528"/>
        <w:gridCol w:w="1134"/>
        <w:gridCol w:w="1134"/>
        <w:gridCol w:w="567"/>
        <w:gridCol w:w="851"/>
        <w:gridCol w:w="1275"/>
        <w:gridCol w:w="2977"/>
      </w:tblGrid>
      <w:tr>
        <w:tblPrEx>
          <w:tblCellMar>
            <w:top w:w="0" w:type="dxa"/>
            <w:left w:w="108" w:type="dxa"/>
            <w:bottom w:w="0" w:type="dxa"/>
            <w:right w:w="108" w:type="dxa"/>
          </w:tblCellMar>
        </w:tblPrEx>
        <w:trPr>
          <w:trHeight w:val="495" w:hRule="atLeast"/>
        </w:trPr>
        <w:tc>
          <w:tcPr>
            <w:tcW w:w="856"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528"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134"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56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1"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27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297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59" w:hRule="atLeast"/>
        </w:trPr>
        <w:tc>
          <w:tcPr>
            <w:tcW w:w="856" w:type="dxa"/>
            <w:tcBorders>
              <w:top w:val="nil"/>
              <w:left w:val="single" w:color="auto" w:sz="4" w:space="0"/>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公共切换参数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w:t>
            </w:r>
            <w:r>
              <w:rPr>
                <w:rFonts w:hint="eastAsia" w:ascii="宋体" w:hAnsi="宋体" w:cs="宋体"/>
                <w:color w:val="000000"/>
                <w:kern w:val="0"/>
                <w:sz w:val="18"/>
                <w:szCs w:val="18"/>
                <w:lang w:val="en-US" w:eastAsia="zh-CN"/>
              </w:rPr>
              <w:t>NR</w:t>
            </w:r>
            <w:r>
              <w:rPr>
                <w:rFonts w:hint="eastAsia" w:ascii="宋体" w:hAnsi="宋体" w:cs="宋体"/>
                <w:color w:val="000000"/>
                <w:kern w:val="0"/>
                <w:sz w:val="18"/>
                <w:szCs w:val="18"/>
              </w:rPr>
              <w:t>.MeasureCtrl.Smeasure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SmeasureConfig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测量启动门限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测量启动门限</w:t>
            </w:r>
          </w:p>
        </w:tc>
      </w:tr>
      <w:tr>
        <w:tblPrEx>
          <w:tblCellMar>
            <w:top w:w="0" w:type="dxa"/>
            <w:left w:w="108" w:type="dxa"/>
            <w:bottom w:w="0" w:type="dxa"/>
            <w:right w:w="108" w:type="dxa"/>
          </w:tblCellMar>
        </w:tblPrEx>
        <w:trPr>
          <w:trHeight w:val="259" w:hRule="atLeast"/>
        </w:trPr>
        <w:tc>
          <w:tcPr>
            <w:tcW w:w="856"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Device.Services.FAPService.{i}.CellConfig.{i}.NR.RAN.Mobility.ConnMode.NR.A1MeasureCtrl.{i}.A1ThresholdRSRP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A1事件RSRP门限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用于NR测量中,触发量为RSRP时,A1事件触发条件的绝对门限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Device.Services.FAPService.{i}.CellConfig.{i}.NR.RAN.Mobility.ConnMode.NR.A1MeasureCtrl.{i}.A1ThresholdRSRQ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A1事件RSRQ门限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用于NR测量中,触发量为RSRQ时,A1事件触发条件的绝对门限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Device.Services.FAPService.{i}.CellConfig.{i}.NR.RAN.Mobility.ConnMode.NR.A1MeasureCtrl.{i}.A1ThresholdSINR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A1事件SINR门限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用于NR测量中，触发量为SINR时，A1事件触发条件的绝对门限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A1事件离开上报指示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测量报告中包含小区的最大数目</w:t>
            </w:r>
          </w:p>
        </w:tc>
      </w:tr>
      <w:tr>
        <w:tblPrEx>
          <w:tblCellMar>
            <w:top w:w="0" w:type="dxa"/>
            <w:left w:w="108" w:type="dxa"/>
            <w:bottom w:w="0" w:type="dxa"/>
            <w:right w:w="108" w:type="dxa"/>
          </w:tblCellMar>
        </w:tblPrEx>
        <w:trPr>
          <w:trHeight w:val="1575"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A1MeasureCtrl.{i}.MeasurePurpose”中的"{i}"取值做了规定，i取值为[1:10]定义为系统保留，其中1用于异频测量（MeasurePurpose取值为1），2用于异系统EUTRA测量（MeasurePurpose取值为2），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Device.Services.FAPService.{i}.CellConfig.{i}.NR.RAN.Mobility.ConnMode.NR.A1MeasureCtrl.{i}.ReportAmount</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连续测量报告之间的间隔，单位ms</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测量类型指示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用来指示测量参考信号的类型，是ssb还是csi-rs,{ssb,csi-rs}</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Device.Services.FAPService.{i}.CellConfig.{i}.NR.RAN.Mobility.ConnMode.NR.A1MeasureCtrl.{i}.IncludeBeamMeasurements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波束赋形测量指示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指示是否使用波束赋形功能</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Device.Services.FAPService.{i}.CellConfig.{i}.NR.RAN.Mobility.ConnMode.NR.A2MeasureCtrl.{i}.A2ThresholdRSRP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A2事件RSRP门限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用于NR测量中,触发量为RSRP时,A2事件触发条件的绝对门限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Device.Services.FAPService.{i}.CellConfig.{i}.NR.RAN.Mobility.ConnMode.NR.A2MeasureCtrl.{i}.A2ThresholdRSRQ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A2事件RSRQ门限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用于NR测量中,触发量为RSRQ时,A2事件触发条件的绝对门限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Device.Services.FAPService.{i}.CellConfig.{i}.NR.RAN.Mobility.ConnMode.NR.A2MeasureCtrl.{i}.A2ThresholdSINR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A2事件SINR门限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用于NR测量中，触发量为SINR时，A2事件触发条件的绝对门限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A2事件离开上报指示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测量报告中包含小区的最大数目</w:t>
            </w:r>
          </w:p>
        </w:tc>
      </w:tr>
      <w:tr>
        <w:tblPrEx>
          <w:tblCellMar>
            <w:top w:w="0" w:type="dxa"/>
            <w:left w:w="108" w:type="dxa"/>
            <w:bottom w:w="0" w:type="dxa"/>
            <w:right w:w="108" w:type="dxa"/>
          </w:tblCellMar>
        </w:tblPrEx>
        <w:trPr>
          <w:trHeight w:val="1575"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A2MeasureCtrl.{i}.MeasurePurpose”中的"{i}"取值做了规定，i取值为[1:10]定义为系统保留，其中1用于异频测量（MeasurePurpose取值为1），2用于异系统EUTRA测量（MeasurePurpose取值为2），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连续测量报告之间的间隔，单位ms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测量类型指示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用来指示测量参考信号的类型，是ssb还是csi-rs,{ssb,csi-rs}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Device.Services.FAPService.{i}.CellConfig.{i}.NR.RAN.Mobility.ConnMode.NR.A2MeasureCtrl.{i}.IncludeBeamMeasurements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波束赋形测量指示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指示是否使用波束赋形功能。</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Device.Services.FAPService.{i}.CellConfig.{i}.NR.RAN.Mobility.ConnMode.NR.A3MeasureCtrl.{i}.A3OffsetRSRP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A3OffsetRSRP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A3事件RSRP门限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用于NR测量中，A3事件RSRP触发条件的相对门限值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Device.Services.FAPService.{i}.CellConfig.{i}.NR.RAN.Mobility.ConnMode.NR.A3MeasureCtrl.{i}.A3OffsetRSRQ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A3OffsetRSRQ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A3事件RSRQ门限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用于NR测量中，A3事件RSRQ触发条件的相对门限值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Device.Services.FAPService.{i}.CellConfig.{i}.NR.RAN.Mobility.ConnMode.NR.A3MeasureCtrl.{i}.A3OffsetSINR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A3OffsetSINR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A3事件SINR门限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用于NR测量中，A3事件SINR触发条件的相对门限值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测量报告中包含小区的最大数目</w:t>
            </w:r>
          </w:p>
        </w:tc>
      </w:tr>
      <w:tr>
        <w:tblPrEx>
          <w:tblCellMar>
            <w:top w:w="0" w:type="dxa"/>
            <w:left w:w="108" w:type="dxa"/>
            <w:bottom w:w="0" w:type="dxa"/>
            <w:right w:w="108" w:type="dxa"/>
          </w:tblCellMar>
        </w:tblPrEx>
        <w:trPr>
          <w:trHeight w:val="1350"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A3MeasureCtrl.{i}.MeasurePurpose”中的"{i}"取值做了规定，i取值为[1:10]定义为系统保留，其中1用于同频测量（MeasurePurpose取值为1），2用于异频测量（MeasurePurpose取值为2），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A3事件离开上报指示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小区测量白名单指示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指示是否使用小区测量白名单。</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1：表示当相关小区包含在whiteCellsToAddModList中时，考虑任何邻区，关联measObjectNRto是否适合；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0：表示当相关小区没有包含在blackCellsToAddModList中时，考虑任何邻区，关联measObjectNRto是否适合；</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测量类型指示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用来指示测量参考信号的类型，是ssb还是csi-rs,{ssb,csi-rs}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Device.Services.FAPService.{i}.CellConfig.{i}.NR.RAN.Mobility.ConnMode.NR.A3MeasureCtrl.{i}.IncludeBeamMeasurements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波束赋形测量指示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指示是否使用波束赋形功能</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Device.Services.FAPService.{i}.CellConfig.{i}.NR.RAN.Mobility.ConnMode.NR.A4MeasureCtrl.{i}.A4ThresholdRSRP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A4ThresholdRSRP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A4事件RSRP门限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用于NR测量中,触发量为RSRP时,A4事件触发条件的绝对门</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Device.Services.FAPService.{i}.CellConfig.{i}.NR.RAN.Mobility.ConnMode.NR.A4MeasureCtrl.{i}.A4ThresholdRSRQ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A4事件RSRQ门限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用于NR测量中,触发量为RSRQ时,A4事件触发条件的绝对门限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Device.Services.FAPService.{i}.CellConfig.{i}.NR.RAN.Mobility.ConnMode.NR.A4MeasureCtrl.{i}.A4ThresholdSINR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A4事件SINR门限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用于NR测量中,触发量为SINR时,A4事件触发条件的绝对门限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Device.Services.FAPService.{i}.CellConfig.{i}.NR.RAN.Mobility.ConnMode.NR.A4MeasureCtrl.{i}.ReportOnLeave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ReportOnLeave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A4事件离开上报指示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测量报告中包含小区的最大数目</w:t>
            </w:r>
          </w:p>
        </w:tc>
      </w:tr>
      <w:tr>
        <w:tblPrEx>
          <w:tblCellMar>
            <w:top w:w="0" w:type="dxa"/>
            <w:left w:w="108" w:type="dxa"/>
            <w:bottom w:w="0" w:type="dxa"/>
            <w:right w:w="108" w:type="dxa"/>
          </w:tblCellMar>
        </w:tblPrEx>
        <w:trPr>
          <w:trHeight w:val="1650"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用于表明当前配置事件的使用目的，对“A4MeasureCtrl.{i}.MeasurePurpose”中的"{i}"取值做了规定，i取值为[1:10]定义为系统保留，其中1用于异频测量（MeasurePurpose取值为1），厂家自定义测量事件从11开始定义。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连续测量报告之间的间隔</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小区测量白名单指示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指示是否使用小区测量白名单。</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1：表示当相关小区包含在whiteCellsToAddModList中时，考虑任何邻区，关联measObjectNRto是否适合；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0：表示当相关小区没有包含在blackCellsToAddModList中时，考虑任何邻区，关联measObjectNRto是否适合；</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测量类型指示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用来指示测量参考信号的类型，是ssb还是csi-rs,{ssb,csi-rs}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Device.Services.FAPService.{i}.CellConfig.{i}.NR.RAN.Mobility.ConnMode.NR.A4MeasureCtrl.{i}.IncludeBeamMeasurements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波束赋形测量指示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指示是否使用波束赋形功能</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Device.Services.FAPService.{i}.CellConfig.{i}.NR.RAN.Mobility.ConnMode.NR.A5MeasureCtrl.{i}.A5Threshold1RSRP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A5Threshold1RSRP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A5事件RSRP门限1</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用于NR测量中,触发量为RSRP时,A5事件触发条件的绝对门限1;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Device.Services.FAPService.{i}.CellConfig.{i}.NR.RAN.Mobility.ConnMode.NR.A5MeasureCtrl.{i}.A5Threshold1RSRQ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A5Threshold1RSRQ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A5事件RSRQ门限1</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用于NR测量中,触发量为RSRQ时,A5事件触发条件的绝对门限1;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Device.Services.FAPService.{i}.CellConfig.{i}.NR.RAN.Mobility.ConnMode.NR.A5MeasureCtrl.{i}.A5Threshold1SINR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A5Threshold1SINR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A5事件SINR门限1</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用于NR测量中,触发量为SINR时,A5事件触发条件的绝对门限1;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Device.Services.FAPService.{i}.CellConfig.{i}.NR.RAN.Mobility.ConnMode.NR.A5MeasureCtrl.{i}.A5Threshold2RSRP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A5Threshold2RSRP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A5事件RSRP门限2</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用于NR测量中,触发量为RSRP时,A5事件触发条件的绝对门限2; </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Device.Services.FAPService.{i}.CellConfig.{i}.NR.RAN.Mobility.ConnMode.NR.A5MeasureCtrl.{i}.A5Threshold2RSRQ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A5Threshold2RSRQ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A5事件RSRQ门限2</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用于NR测量中,触发量为RSRQ时,A5事件触发条件的绝对门限2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Device.Services.FAPService.{i}.CellConfig.{i}.NR.RAN.Mobility.ConnMode.NR.A5MeasureCtrl.{i}.A5Threshold2SINR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A5Threshold2SINR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A5事件SINR门限2</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用于NR测量中,触发量为SINR时,A5事件触发条件的绝对门限2;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Device.Services.FAPService.{i}.CellConfig.{i}.NR.RAN.Mobility.ConnMode.NR.A5MeasureCtrl.{i}.ReportOnLeave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ReportOnLeave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A5事件离开上报指示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测量报告中包含小区的最大数目</w:t>
            </w:r>
          </w:p>
        </w:tc>
      </w:tr>
      <w:tr>
        <w:tblPrEx>
          <w:tblCellMar>
            <w:top w:w="0" w:type="dxa"/>
            <w:left w:w="108" w:type="dxa"/>
            <w:bottom w:w="0" w:type="dxa"/>
            <w:right w:w="108" w:type="dxa"/>
          </w:tblCellMar>
        </w:tblPrEx>
        <w:trPr>
          <w:trHeight w:val="1425"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用于表明当前配置事件的使用目的，对“A5MeasureCtrl.{i}.MeasurePurpose”中的"{i}"取值做了规定，i取值为[1:10]定义为系统保留，其中1用于异频测量（MeasurePurpose取值为1），厂家自定义测量事件从11开始定义。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连续测量报告之间的间隔</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为了满足触发RAT测量报告触发条件持续的时间，单位ms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UseWhiteCellList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小区测量白名单指示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指示是否使用小区测量白名单。</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1：表示当相关小区包含在whiteCellsToAddModList中时，考虑任何邻区，关联measObjectNRto是否适合；</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0：表示当相关小区没有包含在blackCellsToAddModList中时，考虑任何邻区，关联measObjectNRto是否适合；</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RsType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测量类型指示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用来指示测量参考信号的类型，是ssb还是csi-rs,{ssb,csi-rs}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Device.Services.FAPService.{i}.CellConfig.{i}.NR.RAN.Mobility.ConnMode.NR.A5MeasureCtrl.{i}.IncludeBeamMeasurements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IncludeBeamMeasurements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波束赋形测量指示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MC</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指示是否使用波束赋形功能</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Device.Services.FAPService.{i}.CellConfig.{i}.NR.RAN.Mobility.ConnMode.IRAT.B1MeasureCtrl.{i}.B1ThresholdEUTRARsrp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B1ThresholdEUTRARsrp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B1事件RSRP门限(EUTRA-rsrp)</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unsignedInt[0:97]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NR测量中,B1事件触发条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件的RSRP绝对门限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Device.Services.FAPService.{i}.CellConfig.{i}.NR.RAN.Mobility.ConnMode.IRAT.B1MeasureCtrl.{i}.B1ThresholdEUTRARsrq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B1ThresholdEUTRARsrq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B1事件RSRQ门限(EUTRA-rsrq)</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NR测量中,B1事件触发条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件的RSRQ绝对门限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Device.Services.FAPService.{i}.CellConfig.{i}.NR.RAN.Mobility.ConnMode.IRAT.B1MeasureCtrl.{i}.B1ThresholdEUTRASinr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B1ThresholdEUTRASinr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B1事件SINR门限(EUTRA-sinr)</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NR测量中,B1事件触发条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件的SINR绝对门限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进入和离开IRAT上报触发事件条件的滞后值;</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测量报告中包含IRAT小区的最大数目</w:t>
            </w:r>
          </w:p>
        </w:tc>
      </w:tr>
      <w:tr>
        <w:tblPrEx>
          <w:tblCellMar>
            <w:top w:w="0" w:type="dxa"/>
            <w:left w:w="108" w:type="dxa"/>
            <w:bottom w:w="0" w:type="dxa"/>
            <w:right w:w="108" w:type="dxa"/>
          </w:tblCellMar>
        </w:tblPrEx>
        <w:trPr>
          <w:trHeight w:val="1530"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用于表明当前配置事件的使用目的，对“B1MeasureCtrl.{i}.MeasurePurpose”中的"{i}"取值做了规定，i取值为[1:10]定义为系统保留，其中1用于异系统EUTRA测量（MeasurePurpose取值为1），厂家自定义测量事件从11开始定义。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连续IRAT测量报告之间的间隔，单位ms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满足触发IRAT测量报告触发条件持续的时间，单位ms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Device.Services.FAPService.{i}.CellConfig.{i}.NR.RAN.Mobility.ConnMode.IRAT.B1MeasureCtrl.{i}.ReportOnLeave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B1事件离开上报指示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B2事件测量控制参数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使能开关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是否启用该表项</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Device.Services.FAPService.{i}.CellConfig.{i}.NR.RAN.Mobility.ConnMode.IRAT.B2MeasureCtrl.{i}.B2Threshold1RSRP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B2Threshold1RSRP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B2事件RSRP门限(NR-rsrp)</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NR触发量为RSRP时,B2事件触发条件的绝对门限1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Device.Services.FAPService.{i}.CellConfig.{i}.NR.RAN.Mobility.ConnMode.IRAT.B2MeasureCtrl.{i}.B2Threshold1RSRQ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B2Threshold1RSRQ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B2事件RSRQ门限(NR-rsrq)</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NR触发量为RSRQ时,B2事件触发条件的绝对门限1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Device.Services.FAPService.{i}.CellConfig.{i}.NR.RAN.Mobility.ConnMode.IRAT.B2MeasureCtrl.{i}.B2Threshold1SINR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B2Threshold1SINR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B2事件RSRQ门限(NR-sinr)</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NR触发量为SINR时,B2事件触发条件的绝对门限1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Device.Services.FAPService.{i}.CellConfig.{i}.NR.RAN.Mobility.ConnMode.IRAT.B2MeasureCtrl.{i}.B2Threshold2EUTRARSRP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B2Threshold2EUTRARSRP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B2事件门限(EUTRA-RSRP)</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unsignedInt[0:97]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测量对象为EUTRA RSRP时,B2事件触发条件的绝对门限2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Device.Services.FAPService.{i}.CellConfig.{i}.NR.RAN.Mobility.ConnMode.IRAT.B2MeasureCtrl.{i}.B2Threshold2EUTRARSRQ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B2Threshold2EUTRARSRQ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B2事件门限(EUTRA-RSRQ)</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测量对象为EUTRA RSRQ时,B2事件触发条件的绝对门限2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Device.Services.FAPService.{i}.CellConfig.{i}.NR.RAN.Mobility.ConnMode.IRAT.B2MeasureCtrl.{i}.B2Threshold2EUTRASINR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B2Threshold2EUTRASINR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B2事件门限(EUTRA-SINR)</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测量对象为EUTRA SINR时,B2事件触发条件的绝对门限2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Hysteresis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进入和离开IRAT上报触发事件条件的;</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最大上报小区数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测量报告中包含IRAT小区的最大数目</w:t>
            </w:r>
          </w:p>
        </w:tc>
      </w:tr>
      <w:tr>
        <w:tblPrEx>
          <w:tblCellMar>
            <w:top w:w="0" w:type="dxa"/>
            <w:left w:w="108" w:type="dxa"/>
            <w:bottom w:w="0" w:type="dxa"/>
            <w:right w:w="108" w:type="dxa"/>
          </w:tblCellMar>
        </w:tblPrEx>
        <w:trPr>
          <w:trHeight w:val="1725"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MeasurePurpose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测量目的</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用于表明当前配置事件的使用目的，对“B2MeasureCtrl.{i}.MeasurePurpose”中的"{i}"取值做了规定，i取值为[1:10]定义为系统保留，其中1用于异系统EUTRA测量（MeasurePurpose取值为1），厂家自定义测量事件从11开始定义。</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 60000, 360000, 720000, 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连续IRAT测量报告之间的间隔</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TimeToTrigger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触发时间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unsignedInt[0,40, 64, 80,100,128, 160,256,320, 480, 512, 640, 1024,1280,2560,5120]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满足触发IRAT测量报告触发条件持续的时间，单位ms</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Device.Services.FAPService.{i}.CellConfig.{i}.NR.RAN.Mobility.ConnMode.IRAT.B2MeasureCtrl.{i}.ReportOnLeave</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ReportOnLeave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B2事件离开上报指示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某小区的离开状态满足时,UE是否触发测量上报过程；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0:代表不满足条件的小区离开测量列表时不进行上报；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1:代表都会触发测量结果的填写以及上报消息的发送</w:t>
            </w:r>
          </w:p>
        </w:tc>
      </w:tr>
      <w:tr>
        <w:tblPrEx>
          <w:tblCellMar>
            <w:top w:w="0" w:type="dxa"/>
            <w:left w:w="108" w:type="dxa"/>
            <w:bottom w:w="0" w:type="dxa"/>
            <w:right w:w="108" w:type="dxa"/>
          </w:tblCellMar>
        </w:tblPrEx>
        <w:trPr>
          <w:trHeight w:val="259" w:hRule="atLeast"/>
        </w:trPr>
        <w:tc>
          <w:tcPr>
            <w:tcW w:w="85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重选公共参数</w:t>
            </w: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Device.Services.FAPService.{i}.CellConfig.{i}.NR.RAN.Mobility.IdleMode.Common.NrofSSBlocksToAverage</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NrofSSBlocksToAverage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小区测量平均SSB数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unsignedInt[2:16]</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取值范围：[2~16]和0x00000FFF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Device.Services.FAPService.{i}.CellConfig.{i}.NR.RAN.Mobility.IdleMode.Common.IntraFreqReselection </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IntraFreqReselection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同频重选指示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同频重选指示，(0=允许,1=不允许)</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Device.Services.FAPService.{i}.CellConfig.{i}.NR.RAN.Mobility.IdleMode.Common.ThresholdRSRP </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ThresholdRSRP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RSRP门限值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Device.Services.FAPService.{i}.CellConfig.{i}.NR.RAN.Mobility.IdleMode.Common.ThresholdRSRQ</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RSRQ门限值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Device.Services.FAPService.{i}.CellConfig.{i}.NR.RAN.Mobility.IdleMode.Common.ThresholdSINR</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SINR门限值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Device.Services.FAPService.{i}.CellConfig.{i}.NR.RAN.Mobility.IdleMode.Common.Qhyst</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Qhyst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服务小区重选迟滞值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适用于服务小区的滞后值，用来评估小区级别的标准。以dB为单位。对应TS38.331的q-Hyst，dB0对应0，dB1对应1，依次类推，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取值范围：[0~15]</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分别代表{dB0, dB1,dB2, dB3, dB4,dB5, dB6, dB8,dB10,dB12,dB14,dB16,dB18,dB20,dB22, dB24}</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Device.Services.FAPService.{i}.CellConfig.{i}.NR.RAN.Mobility.IdleMode.Common.TEvaluation</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Tevaluation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允许小区重选的间隔时间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指定进入移动状态时，评估允许小区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重选数目的间隔时间。以秒为单位。</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S30对应30秒，依次类推。对应对应TS38.331 中SIB2定义的t-Evalua tion，取值范围：[0~4]分别代表{s30,s60,s120,s180,s240}</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Device.Services.FAPService.{i}.CellConfig.{i}.NR.RAN.Mobility.IdleMode.Common.THystNormal</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THystNormal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正常状态附加判决时长</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7" w:type="dxa"/>
            <w:tcBorders>
              <w:top w:val="nil"/>
              <w:left w:val="nil"/>
              <w:bottom w:val="single" w:color="auto" w:sz="4" w:space="0"/>
              <w:right w:val="single" w:color="auto" w:sz="4" w:space="0"/>
            </w:tcBorders>
            <w:shd w:val="clear" w:color="auto" w:fill="auto"/>
            <w:vAlign w:val="center"/>
          </w:tcPr>
          <w:p>
            <w:pPr>
              <w:widowControl/>
              <w:spacing w:after="240"/>
              <w:jc w:val="left"/>
              <w:rPr>
                <w:rFonts w:ascii="宋体" w:hAnsi="宋体" w:cs="宋体"/>
                <w:color w:val="000000"/>
                <w:kern w:val="0"/>
                <w:sz w:val="18"/>
                <w:szCs w:val="18"/>
              </w:rPr>
            </w:pPr>
            <w:r>
              <w:rPr>
                <w:rFonts w:hint="eastAsia" w:ascii="宋体" w:hAnsi="宋体" w:cs="宋体"/>
                <w:color w:val="000000"/>
                <w:kern w:val="0"/>
                <w:sz w:val="18"/>
                <w:szCs w:val="18"/>
              </w:rPr>
              <w:t>指定进入正常移动状态时，评估标准</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的时间间隔。以秒为单位，s30对应30秒，依次类推。对应TS 38.331中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SIB2定义的t-HystNormal，取值范围：[0~4]分别代表{s30,s60, s120,s180,s240}</w:t>
            </w:r>
          </w:p>
        </w:tc>
      </w:tr>
      <w:tr>
        <w:tblPrEx>
          <w:tblCellMar>
            <w:top w:w="0" w:type="dxa"/>
            <w:left w:w="108" w:type="dxa"/>
            <w:bottom w:w="0" w:type="dxa"/>
            <w:right w:w="108" w:type="dxa"/>
          </w:tblCellMar>
        </w:tblPrEx>
        <w:trPr>
          <w:trHeight w:val="259" w:hRule="atLeast"/>
        </w:trPr>
        <w:tc>
          <w:tcPr>
            <w:tcW w:w="85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同频重选参数</w:t>
            </w: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Device.Services.FAPService.{i}.CellConfig.{i}.NR.RAN.Mobility.IdleMode.IntraFreq.QRxLevMinSIB1</w:t>
            </w:r>
          </w:p>
        </w:tc>
        <w:tc>
          <w:tcPr>
            <w:tcW w:w="113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QRxLevMinSIB1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服务小区最小接收电平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int[-70:-22]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小区选择时，服务小区的最小RSRP接收电平，用来控制小区选择的难易程度,单位：dBm</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Device.Services.FAPService.{i}.CellConfig.{i}.NR.RAN.Mobility.IdleMode.IntraFreq.QRxLevMinSIB2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QRxLevMinSIB2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同频邻区最小接收电平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int[-70:-22]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同频小区重选时，邻区的最小RSRP接收电平,单位：dBm</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w:t>
            </w:r>
            <w:r>
              <w:rPr>
                <w:rFonts w:hint="eastAsia" w:ascii="宋体" w:hAnsi="宋体" w:cs="宋体"/>
                <w:color w:val="000000"/>
                <w:kern w:val="0"/>
                <w:sz w:val="18"/>
                <w:szCs w:val="18"/>
                <w:lang w:val="en-US" w:eastAsia="zh-CN"/>
              </w:rPr>
              <w:t>q</w:t>
            </w:r>
            <w:r>
              <w:rPr>
                <w:rFonts w:hint="eastAsia" w:ascii="宋体" w:hAnsi="宋体" w:cs="宋体"/>
                <w:color w:val="000000"/>
                <w:kern w:val="0"/>
                <w:sz w:val="18"/>
                <w:szCs w:val="18"/>
              </w:rPr>
              <w:t>ualminoffset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小区选择最低接入信号质量偏移值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取值范围:[1~8]和0x0000000F小区选择时,相对Qqualmin的偏移值，当驻留在VPLMN中周期性搜索更高优先级的PLMN时用于计算S准则，对应IE为q-QualMinOffset</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注：当缺省配置时，UE默认为该值为0dB；0x0000000F代表无效值</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Device.Services.FAPService.{i}.CellConfig.{i}.NR.RAN.Mobility.IdleMode.IntraFreq.QRxLevMinOffset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QRxLevMinOffset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最小接收电平偏移量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取值范围:[1~8]和0x0000000F小区选择时，相对Qrxlevmin的偏移值，当驻留在VPLMN中周期性搜索更高优先级的PLMN时用于计算S准则, 对应IE为q-RxLevMinOffset。0x0000000F代表无效值</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Device.Services.FAPService.{i}.CellConfig.{i}.NR.RAN.Mobility.IdleMode.IntraFreq.Qoffsettemp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w:t>
            </w:r>
            <w:r>
              <w:rPr>
                <w:rFonts w:hint="eastAsia" w:ascii="宋体" w:hAnsi="宋体" w:cs="宋体"/>
                <w:color w:val="000000"/>
                <w:kern w:val="0"/>
                <w:sz w:val="18"/>
                <w:szCs w:val="18"/>
                <w:lang w:val="en-US" w:eastAsia="zh-CN"/>
              </w:rPr>
              <w:t>o</w:t>
            </w:r>
            <w:r>
              <w:rPr>
                <w:rFonts w:hint="eastAsia" w:ascii="宋体" w:hAnsi="宋体" w:cs="宋体"/>
                <w:color w:val="000000"/>
                <w:kern w:val="0"/>
                <w:sz w:val="18"/>
                <w:szCs w:val="18"/>
              </w:rPr>
              <w:t>ffsettemp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小区临时偏移量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unsignedInt[1:15]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小区临时偏移量</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Device.Services.FAPService.{i}.CellConfig.{i}.NR.RAN.Mobility.IdleMode.IntraFreq.SIntraSearchP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SIntraSearchP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同频测量启动门限RSRP</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频率内测量值门限。实际值为该值乘以2得到，以dB为单位。对应TS 38.331定义的s-IntraSearchP，</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取值范围[0..31]</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Device.Services.FAPService.{i}.CellConfig.{i}.NR.RAN.Mobility.IdleMode.IntraFreq.SIntraSearchQ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SIntraSearchQ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同频测量启动门限RSRQ</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IE value [dB]，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取值范围：[0~31]和0x0FFFFFFF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0x0FFFFFFF代表这个参数不存在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Device.Services.FAPService.{i}.CellConfig.{i}.NR.RAN.Mobility.IdleMode.IntraFreq.TReselectionNR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TReselectionNR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同频小区重选时间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频率内NR小区重选定时器。以秒为单位。对应TS 38.331定义的t-ReselectionNR，</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Device.Services.FAPService.{i}.CellConfig.{i}.NR.RAN.Mobility.IdleMode.IntraFreq.CellReselectionPriority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CellReselectionPriority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同频小区重选优先级</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频率间和RAT间小区重选过程中，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E-UTRAN服务载频的决定优先级。对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应TS 38.331中SIB2的Cell Resel ectionPriority，取值范围：[0..7]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Device.Services.FAPService.{i}.CellConfig.{i}.NR.RAN.Mobility.IdleMode.IntraFreq.CellReselectionSubPriority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CellReselectionSubPriority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同频小区重选优先级附加值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 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分别代表{ oDot2, oDot4, oDot6, oDot8}和0x0FFFFFFF代表这个参数不存在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Device.Services.FAPService.{i}.CellConfig.{i}.NR.RAN.Mobility.IdleMode.IntraFreq.Pmax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Pmax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UE允许最大发射功率</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该参数用来在服务频率上限制允许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的UE上行链路传输功率。用来计算</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TS 38.304 中定义的Pcompensation 。对应38.331 中SIB2定义的p-Max，取值范围：[-30..33] 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Device.Services.FAPService.{i}.CellConfig.{i}.NR.RAN.Mobility.IdleMode.IntraFreq.ThreshServingLowP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ThreshServingLowP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低优先级重选门限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评估向低优先级的E-UTRAN频率或</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RA重选时，服务频率的门限。实际</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值由该值乘以2，以dB为单位。对应</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TS 38.331中的threshServingLowP，取值范围：[0..31]</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Device.Services.FAPService.{i}.CellConfig.{i}.NR.RAN.Mobility.IdleMode.IntraFreq.ThreshServingLowQ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ThreshServingLowQ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服务频点低优先级RSRQ重选门限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IE value [dB]，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取值范围：[0~31]和0x0FFFFFFF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Device.Services.FAPService.{i}.CellConfig.{i}.NR.RAN.Mobility.IdleMode.IntraFreq.QQualMinSIB2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QQualMinSIB2</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小区重选最低接入信号质量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int[-34:-3]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小区重选时，最小RSRP接收级别。实际值为该值乘以2得到。以dBm为单位。对应TS 38.331[3]中SIB2的q-QualMin，取值范围：[-34..-3]和0x0FFFFFFF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Device.Services.FAPService.{i}.CellConfig.{i}.NR.RAN.Mobility.IdleMode.IntraFreq.QQualMinSIB1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QQualMinSIB1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小区选择最低接入信号质量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int[-34:-3]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小区选择时，最小RSRP接收级别。实际值为该值乘以2得到。以dBm为单位。对应TS 38.331[3]中SIB1的q-QualMin，取值范围：[-34..-3]和0x0FFFFFFF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Device.Services.FAPService.{i}.CellConfig.{i}.NR.RAN.Mobility.IdleMode.IntraFreq.DeriveSSBIndexFromCell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DeriveSSBIndexFromCell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指示UE能否根据服务小区来获取邻小区的SSB索引号</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物理小区ID起始位置</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协议里表示为： startPhysCellId物理小区ID起始，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取值范围：0~1007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取值范围：[0~14，0x0FFFFFFF]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n4, n8, n12, n16, n24, n32, n48, n64, n84, n96, n128, n168, n252, n504, n1008，不存在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Device.Services.FAPService.{i}.CellConfig.{i}.NR.RAN.Mobility.IdleMode.IntraFreq.SNonIntraSearchP</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SNonIntraSearchP</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同频RSRP测量启动门限</w:t>
            </w:r>
          </w:p>
        </w:tc>
        <w:tc>
          <w:tcPr>
            <w:tcW w:w="56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unsignedInt[0:31,0x0FFFFFFF]</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频率间切换和低优先级或相等优先级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RAT间切换测量门限。实际值为该值乘以2，以dB为单位。对应TS 38.3318中的s-NonIntraSearch，</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取值范围;[0..31]和0x0FFFFFFF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Device.Services.FAPService.{i}.CellConfig.{i}.NR.RAN.Mobility.IdleMode.IntraFreq.SNonIntraSearchQ</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SNonIntraSearchQ</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同频RSRQ测量启动门限</w:t>
            </w:r>
          </w:p>
        </w:tc>
        <w:tc>
          <w:tcPr>
            <w:tcW w:w="56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unsignedInt[0:31,0x0FFFFFFF]</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IE value [dB]，</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取值范围：[0~31]和0x0FFFFFFF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异频重选参数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Device.Services.FAPService.{i}.CellConfig.{i}.NR.RAN.Mobility.IdleMode.InterFreq.Carrier.{i}.DlCarrierFreq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DlCarrierFreq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载波频率</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unsignedInt[0:3279165]</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NR邻区载频的ARFCN</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Device.Services.FAPService.{i}.CellConfig.{i}.NR.RAN.Mobility.IdleMode.InterFreq.Carrier.{i}.NrofSSBlocksToAverage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NrofSSBlocksToAverage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小区测量平均SSB数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unsignedInt[2:16]</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取值范围：[2~16]和0x00000FFF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Device.Services.FAPService.{i}.CellConfig.{i}.NR.RAN.Mobility.IdleMode.InterFreq.Carrier.{i}.ThresholdRSRP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ThresholdRSRP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RSRP门限值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ThresholdRSRQ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RSRQ门限值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ThresholdSINR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SINR门限值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unsignedInt[0:127]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取值范围：[0~127]和0x00000FFF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0x00000FFF代表无效</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Device.Services.FAPService.{i}.CellConfig.{i}.NR.RAN.Mobility.IdleMode.InterFreq.Carrier.{i}.SsbSubcarrierSpacing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SsbSubcarrierSpacing</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SSB子载波间隔</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0代表kHz15，1代表kHz30，2代表kHz60，3代表kHz120，4代表kHz240.</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&lt;6GHz:15 kHzor 30 kHz;</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&gt;6GHz:120 kHz or 240 kHz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Device.Services.FAPService.{i}.CellConfig.{i}.NR.RAN.Mobility.IdleMode.InterFreq.Carrier.{i}.DeriveSSBIndexFromCell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DeriveSSBIndexFromCell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通过SSB获取定时指示</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若置为True，UE认为同频小区间的SFN和帧定时相同</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Device.Services.FAPService.{i}.CellConfig.{i}.NR.RAN.Mobility.IdleMode.InterFreq.Carrier.{i}.QRxLevMin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异频小区重选时，最小接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收电平。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int[-70:-22]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异频小区重选时，最小RSRP接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收级别。实际值为该值乘以2得到。以dBm</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为单位。对应TS 38.331[3]中SIB4的q-rxLevMin，</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取值范围：[-70..-22]</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Device.Services.FAPService.{i}.CellConfig.{i}.NR.RAN.Mobility.IdleMode.InterFreq.Carrier.{i}.QQualMin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异频小区重选时，最低接入信号质量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int[-34:-3]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异频小区重选时，最小RSRQ接收级别。对应TS 38.331[3]中SIB4的q-QualMin，取值范围：[-34..-3]和0x0FFFFFFF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Device.Services.FAPService.{i}.CellConfig.{i}.NR.RAN.Mobility.IdleMode.InterFreq.Carrier.{i}.Pmax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PMax</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UE允许最大发射功率</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该参数用来在服务频率上限制允许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的UE上行链路传输功率。用来计算</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TS 38.304  中定义的Pcompensation ,对应38.331 中SIB4定义的p-Max，取值范围：[-30..33] 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Device.Services.FAPService.{i}.CellConfig.{i}.NR.RAN.Mobility.IdleMode.InterFreq.Carrier.{i}.TReselectionNR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TReselectionNR</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异频小区重选时间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频率内NR小区重选定时器。以秒为单位。对应TS 38.331定义的t-ReselectionNR，</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Device.Services.FAPService.{i}.CellConfig.{i}.NR.RAN.Mobility.IdleMode.InterFreq.Carrier.{i}.ThreshXHighP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ThreshXHighP </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Device.Services.FAPService.{i}.CellConfig.{i}.NR.RAN.Mobility.IdleMode.InterFreq.Carrier.{i}.ThreshXLowP</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ThreshXLowP</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低优先级重选门限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低优先级重选门限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Device.Services.FAPService.{i}.CellConfig.{i}.NR.RAN.Mobility.IdleMode.InterFreq.Carrier.{i}.ThreshXHighQ </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ThreshXHighQ </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Device.Services.FAPService.{i}.CellConfig.{i}.NR.RAN.Mobility.IdleMode.InterFreq.Carrier.{i}.ThreshXLowQ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ThreshXLowQ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低优先级重选门限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低优先级重选门限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Device.Services.FAPService.{i}.CellConfig.{i}.NR.RAN.Mobility.IdleMode.InterFreq.Carrier.{i}.CellReselectionPriority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CellReselectionPriority</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重选优先级</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INTEGER (0..7)</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Device.Services.FAPService.{i}.CellConfig.{i}.NR.RAN.Mobility.IdleMode.InterFreq.Carrier.{i}.CellReselectionSubPriority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CellReselectionSubPriority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异频重选优先级附加值</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取值范围：[0..3] 和0x0FFFFFFF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分别代表{ oDot2, oDot4, oDot6, oDot8}和0x0FFFFFFF代表这个参数不存在</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Device.Services.FAPService.{i}.CellConfig.{i}.NR.RAN.Mobility.IdleMode.InterFreq.Carrier.{i}.Q</w:t>
            </w:r>
            <w:r>
              <w:rPr>
                <w:rFonts w:hint="eastAsia" w:ascii="宋体" w:hAnsi="宋体" w:cs="宋体"/>
                <w:color w:val="000000"/>
                <w:kern w:val="0"/>
                <w:sz w:val="18"/>
                <w:szCs w:val="18"/>
                <w:lang w:val="en-US" w:eastAsia="zh-CN"/>
              </w:rPr>
              <w:t>o</w:t>
            </w:r>
            <w:r>
              <w:rPr>
                <w:rFonts w:hint="eastAsia" w:ascii="宋体" w:hAnsi="宋体" w:cs="宋体"/>
                <w:color w:val="000000"/>
                <w:kern w:val="0"/>
                <w:sz w:val="18"/>
                <w:szCs w:val="18"/>
              </w:rPr>
              <w:t>ffsetFreq</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w:t>
            </w:r>
            <w:r>
              <w:rPr>
                <w:rFonts w:hint="eastAsia" w:ascii="宋体" w:hAnsi="宋体" w:cs="宋体"/>
                <w:color w:val="000000"/>
                <w:kern w:val="0"/>
                <w:sz w:val="18"/>
                <w:szCs w:val="18"/>
                <w:lang w:val="en-US" w:eastAsia="zh-CN"/>
              </w:rPr>
              <w:t>o</w:t>
            </w:r>
            <w:r>
              <w:rPr>
                <w:rFonts w:hint="eastAsia" w:ascii="宋体" w:hAnsi="宋体" w:cs="宋体"/>
                <w:color w:val="000000"/>
                <w:kern w:val="0"/>
                <w:sz w:val="18"/>
                <w:szCs w:val="18"/>
              </w:rPr>
              <w:t>ffsetFreq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重选专用偏移量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int[-24:-8, -6:6, 8:24]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Enumerate{dB-24, dB-22, dB-20, dB-18, dB-16, dB-14, dB-12, dB-10, dB-8, dB-6, dB-5, dB-4, dB-3,dB-2, dB-1, dB0, dB1, dB2, dB3, dB4, dB5, dB6, dB8, dB10, dB12, dB14, dB16, dB18, dB20, dB22, dB24}</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物理小区ID起始位置</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协议里表示为： startPhysCellId物理小区ID起始，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取值范围：0~1007 </w:t>
            </w:r>
          </w:p>
        </w:tc>
      </w:tr>
      <w:tr>
        <w:tblPrEx>
          <w:tblCellMar>
            <w:top w:w="0" w:type="dxa"/>
            <w:left w:w="108" w:type="dxa"/>
            <w:bottom w:w="0" w:type="dxa"/>
            <w:right w:w="108" w:type="dxa"/>
          </w:tblCellMar>
        </w:tblPrEx>
        <w:trPr>
          <w:trHeight w:val="259" w:hRule="atLeast"/>
        </w:trPr>
        <w:tc>
          <w:tcPr>
            <w:tcW w:w="856"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Device.Services.FAPService.{i}.CellConfig.{i}.NR.RAN.Mobility.IdleMode.InterFreq.Carrier.{i}.BlackPhysCellIdRange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取值范围：[0~14，0x0FFFFFFF]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n4, n8, n12, n16, n24, n32, n48, n64, n84, n96, n128, n168, n252, n504, n1008，不存在 }</w:t>
            </w:r>
          </w:p>
        </w:tc>
      </w:tr>
      <w:tr>
        <w:tblPrEx>
          <w:tblCellMar>
            <w:top w:w="0" w:type="dxa"/>
            <w:left w:w="108" w:type="dxa"/>
            <w:bottom w:w="0" w:type="dxa"/>
            <w:right w:w="108" w:type="dxa"/>
          </w:tblCellMar>
        </w:tblPrEx>
        <w:trPr>
          <w:trHeight w:val="259"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异系统重选参数</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Device.Services.FAPService.{i}.CellConfig.{i}.NR.RAN.Mobility.IdleMode.EUTRA.TReselectionEUTRA</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TReselectionEUTRA</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EUTRA小区重选时间</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异系统小区重选定时器。以秒为单位。对应TS 38.331定义的t-ReselectionEUTRA，</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取值范围：{0..7]</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Device.Services.FAPService.{i}.CellConfig.{i}.NR.RAN.Mobility.IdleMode.EUTRA.Carrier.{i}.CellReselectionPriority</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CellReselectionPriority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EUTRAN频点重选优先级</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INTEGER (0..7)</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Device.Services.FAPService.{i}.CellConfig.{i}.NR.RAN.Mobility.IdleMode.EUTRA.Carrier.{i}.ThreshXHigh</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ThreshXHigh</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EUTRAN频点高优先级重选门限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EUTRAN频点高优先级重选门限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Device.Services.FAPService.{i}.CellConfig.{i}.NR.RAN.Mobility.IdleMode.EUTRA.Carrier.{i}.ThreshXLow</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ThreshXLow</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EUTRAN频点低优先级重选门限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EUTRAN频点低优先级重选门限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Device.Services.FAPService.{i}.CellConfig.{i}.NR.RAN.Mobility.IdleMode.EUTRA.Carrier.{i}.QRxLevMin</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QRxLevMin</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EUTRAN最低接收电平</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int[-70:-22]</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异系统小区重选时，最小RSRP接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收级别。实际值为该值乘以2得到。以dBm</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为单位。对应TS 38.331[3]中SIB5的q-rxLevMin，</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取值范围：[-70..-22]</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Device.Services.FAPService.{i}.CellConfig.{i}.NR.RAN.Mobility.IdleMode.EUTRA.Carrier.{i}.QQualMin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QQualMin</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EUTRAN最低接入信号质量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int[-34:-3]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异系统小区重选时，最小RSRQ接收级别。对应TS 38.331[3]中SIB5的q-QualMin，取值范围：[-34..-3]</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Device.Services.FAPService.{i}.CellConfig.{i}.NR.RAN.Mobility.IdleMode.EUTRA.Carrier.{i}.PMaxEUTRA</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PMaxEUTRA</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EUTRAN最大允许发射功率</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int[-30:33]</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EUTRAN最大允许发射功率</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Device.Services.FAPService.{i}.CellConfig.{i}.NR.RAN.Mobility.IdleMode.EUTRA.Carrier.{i}.ThreshXHighQ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ThreshXHighQ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EUTRAN频点高优先级重选门限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EUTRAN频点高优先级重选门限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Device.Services.FAPService.{i}.CellConfig.{i}.NR.RAN.Mobility.IdleMode.EUTRA.Carrier.{i}.ThreshXLowQ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ThreshXLowQ</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EUTRAN频点低优先级重选门限</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unsignedInt[0:31]</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EUTRAN频点低优先级重选门限</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Device.Services.FAPService.{i}.CellConfig.{i}.NR.RAN.Mobility.IdleMode.EUTRA.Carrier.{i}.AllowedMeasBandwidth</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AllowedMeasBandwidth</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最大允许测量带宽</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最大允许测量带宽，Enumerate</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{mbw6, mbw15, mbw25, mbw50, mbw75, mbw100}</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Device.Services.FAPService.{i}.CellConfig.{i}.NR.RAN.Mobility.IdleMode.EUTRA.Carrier.{i}.PresenceAntennaPort1</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PresenceAntennaPort1</w:t>
            </w:r>
          </w:p>
        </w:tc>
        <w:tc>
          <w:tcPr>
            <w:tcW w:w="1134"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指示是否所有邻小区使用天线端口1</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boolean</w:t>
            </w:r>
          </w:p>
        </w:tc>
        <w:tc>
          <w:tcPr>
            <w:tcW w:w="2977"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指示是否所有邻小区使用天线端口1</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BlackPhysCellIdStart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物理小区ID起始位置</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unsignedInt[0:503]</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协议里表示为： startPhysCellId物理小区ID起始，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取值范围：0~503 </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Device.Services.FAPService.{i}.CellConfig.{i}.NR.RAN.Mobility.IdleMode.EUTRA.Carrier.{i}.BlackPhysCellIdRange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BlackPhysCellIdRange</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物理小区ID步进，</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取值范围：[0~13，0x0FFFFFFF]</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分别对应{ n4, n8, n12, n16, n24, n32, n48, n64, n84, n96, n128, n168, n252, n504不存在 }</w:t>
            </w:r>
          </w:p>
        </w:tc>
      </w:tr>
      <w:tr>
        <w:tblPrEx>
          <w:tblCellMar>
            <w:top w:w="0" w:type="dxa"/>
            <w:left w:w="108" w:type="dxa"/>
            <w:bottom w:w="0" w:type="dxa"/>
            <w:right w:w="108" w:type="dxa"/>
          </w:tblCellMar>
        </w:tblPrEx>
        <w:trPr>
          <w:trHeight w:val="1035" w:hRule="atLeast"/>
        </w:trPr>
        <w:tc>
          <w:tcPr>
            <w:tcW w:w="85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周期性测量的配置</w:t>
            </w:r>
          </w:p>
        </w:tc>
        <w:tc>
          <w:tcPr>
            <w:tcW w:w="5528"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Device.Services.FAPService.{i}.CellConfig.{i}.NR.RAN.Mobility.ConnMode.NR.PeriodMeasCtrl.{i}.MeasurePurpose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MeasurePurpose</w:t>
            </w:r>
          </w:p>
        </w:tc>
        <w:tc>
          <w:tcPr>
            <w:tcW w:w="1134"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测量目的</w:t>
            </w:r>
          </w:p>
        </w:tc>
        <w:tc>
          <w:tcPr>
            <w:tcW w:w="56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000000"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5"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unsignedInt[1:4]</w:t>
            </w:r>
          </w:p>
        </w:tc>
        <w:tc>
          <w:tcPr>
            <w:tcW w:w="2977" w:type="dxa"/>
            <w:tcBorders>
              <w:top w:val="nil"/>
              <w:left w:val="nil"/>
              <w:bottom w:val="single" w:color="auto" w:sz="4" w:space="0"/>
              <w:right w:val="single" w:color="auto" w:sz="4" w:space="0"/>
            </w:tcBorders>
            <w:shd w:val="clear" w:color="000000" w:fill="auto"/>
            <w:vAlign w:val="center"/>
          </w:tcPr>
          <w:p>
            <w:pPr>
              <w:widowControl/>
              <w:jc w:val="left"/>
              <w:rPr>
                <w:rFonts w:ascii="宋体" w:hAnsi="宋体" w:cs="宋体"/>
                <w:kern w:val="0"/>
                <w:sz w:val="18"/>
                <w:szCs w:val="18"/>
              </w:rPr>
            </w:pPr>
            <w:r>
              <w:rPr>
                <w:rFonts w:hint="eastAsia" w:ascii="宋体" w:hAnsi="宋体" w:cs="宋体"/>
                <w:kern w:val="0"/>
                <w:sz w:val="18"/>
                <w:szCs w:val="18"/>
              </w:rPr>
              <w:t>用于表明当前周期配置的使用目的,Enumerate{1=anr,2=intra-frequency,3=inter-frequency,4=purpose3}</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Device.Services.FAPService.{i}.CellConfig.{i}.NR.RAN.Mobility.ConnMode.NR.PeriodMeasCtrl.{i}.ReportQuantity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ReportQuantity</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上报量</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string</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测量报告中的上报量</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{rsrp,rsrq,sinr}</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Device.Services.FAPService.{i}.CellConfig.{i}.NR.RAN.Mobility.ConnMode.NR.PeriodMeasCtrl.{i}.MaxReportCells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MaxReportCells</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小区的最大数目</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unsignedInt[1:8]</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小区的最大数目</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Device.Services.FAPService.{i}.CellConfig.{i}.NR.RAN.Mobility.ConnMode.NR.PeriodMeasCtrl.{i}.ReportInterval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ReportInterval</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周期性测量报告</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unsignedInt[120, 240, 480, 640, 1024, 2048, 5120, 10240,60000,360000, 720000,1800000]</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周期性测量报告</w:t>
            </w:r>
          </w:p>
        </w:tc>
      </w:tr>
      <w:tr>
        <w:tblPrEx>
          <w:tblCellMar>
            <w:top w:w="0" w:type="dxa"/>
            <w:left w:w="108" w:type="dxa"/>
            <w:bottom w:w="0" w:type="dxa"/>
            <w:right w:w="108" w:type="dxa"/>
          </w:tblCellMar>
        </w:tblPrEx>
        <w:trPr>
          <w:trHeight w:val="259" w:hRule="atLeast"/>
        </w:trPr>
        <w:tc>
          <w:tcPr>
            <w:tcW w:w="85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Device.Services.FAPService.{i}.CellConfig.{i}.NR.RAN.Mobility.ConnMode.NR.PeriodMeasCtrl.{i}.ReportAmount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ReportAmount</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测量报告次数</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 1, 2, 4, 8, 16, 32, 64]</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测量报告发送的次数，0表示无限次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参见36.331协议中测量章节描述，在reportCGI时，此参数ReportAmount=1</w:t>
            </w:r>
          </w:p>
        </w:tc>
      </w:tr>
      <w:tr>
        <w:tblPrEx>
          <w:tblCellMar>
            <w:top w:w="0" w:type="dxa"/>
            <w:left w:w="108" w:type="dxa"/>
            <w:bottom w:w="0" w:type="dxa"/>
            <w:right w:w="108" w:type="dxa"/>
          </w:tblCellMar>
        </w:tblPrEx>
        <w:trPr>
          <w:trHeight w:val="360" w:hRule="atLeast"/>
        </w:trPr>
        <w:tc>
          <w:tcPr>
            <w:tcW w:w="856"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报告CGI的测量配置 </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Device.Services.FAPService.{i}.CellConfig.{i}.NR.RAN.Mobility.ConnMode.NR.ReportCGI.{i}.PhysCellId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PhysCellId</w:t>
            </w:r>
          </w:p>
        </w:tc>
        <w:tc>
          <w:tcPr>
            <w:tcW w:w="113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小区ID</w:t>
            </w:r>
          </w:p>
        </w:tc>
        <w:tc>
          <w:tcPr>
            <w:tcW w:w="56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27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unsignedInt[0:1007]</w:t>
            </w:r>
          </w:p>
        </w:tc>
        <w:tc>
          <w:tcPr>
            <w:tcW w:w="297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标识物理层小区ID（PCI值）</w:t>
            </w:r>
          </w:p>
        </w:tc>
      </w:tr>
    </w:tbl>
    <w:p>
      <w:pPr>
        <w:pStyle w:val="3"/>
        <w:spacing w:line="360" w:lineRule="auto"/>
        <w:ind w:firstLine="0" w:firstLineChars="0"/>
        <w:rPr>
          <w:rFonts w:ascii="黑体" w:hAnsi="黑体" w:eastAsia="黑体"/>
          <w:sz w:val="21"/>
          <w:szCs w:val="21"/>
        </w:rPr>
      </w:pPr>
    </w:p>
    <w:p>
      <w:pPr>
        <w:pStyle w:val="4"/>
        <w:rPr>
          <w:rFonts w:ascii="黑体" w:hAnsi="黑体" w:eastAsia="黑体"/>
          <w:b w:val="0"/>
          <w:bCs w:val="0"/>
          <w:sz w:val="21"/>
          <w:szCs w:val="21"/>
        </w:rPr>
      </w:pPr>
      <w:bookmarkStart w:id="28" w:name="_Toc89684817"/>
      <w:r>
        <w:rPr>
          <w:rFonts w:hint="eastAsia" w:ascii="黑体" w:hAnsi="黑体" w:eastAsia="黑体"/>
          <w:b w:val="0"/>
          <w:bCs w:val="0"/>
          <w:sz w:val="21"/>
          <w:szCs w:val="21"/>
        </w:rPr>
        <w:t>SCTP参数</w:t>
      </w:r>
      <w:bookmarkEnd w:id="28"/>
    </w:p>
    <w:p>
      <w:pPr>
        <w:jc w:val="center"/>
      </w:pPr>
      <w:r>
        <w:rPr>
          <w:rFonts w:hint="eastAsia"/>
        </w:rPr>
        <w:t>表1</w:t>
      </w:r>
      <w:r>
        <w:t>4</w:t>
      </w:r>
      <w:r>
        <w:rPr>
          <w:rFonts w:hint="eastAsia"/>
        </w:rPr>
        <w:t>：SCTP参数</w:t>
      </w:r>
    </w:p>
    <w:tbl>
      <w:tblPr>
        <w:tblStyle w:val="22"/>
        <w:tblW w:w="14596" w:type="dxa"/>
        <w:tblInd w:w="0" w:type="dxa"/>
        <w:tblLayout w:type="fixed"/>
        <w:tblCellMar>
          <w:top w:w="0" w:type="dxa"/>
          <w:left w:w="108" w:type="dxa"/>
          <w:bottom w:w="0" w:type="dxa"/>
          <w:right w:w="108" w:type="dxa"/>
        </w:tblCellMar>
      </w:tblPr>
      <w:tblGrid>
        <w:gridCol w:w="802"/>
        <w:gridCol w:w="5572"/>
        <w:gridCol w:w="1559"/>
        <w:gridCol w:w="1701"/>
        <w:gridCol w:w="709"/>
        <w:gridCol w:w="851"/>
        <w:gridCol w:w="1701"/>
        <w:gridCol w:w="1701"/>
      </w:tblGrid>
      <w:tr>
        <w:tblPrEx>
          <w:tblCellMar>
            <w:top w:w="0" w:type="dxa"/>
            <w:left w:w="108" w:type="dxa"/>
            <w:bottom w:w="0" w:type="dxa"/>
            <w:right w:w="108" w:type="dxa"/>
          </w:tblCellMar>
        </w:tblPrEx>
        <w:trPr>
          <w:trHeight w:val="495" w:hRule="atLeast"/>
        </w:trPr>
        <w:tc>
          <w:tcPr>
            <w:tcW w:w="802"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572"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559"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25" w:hRule="atLeast"/>
        </w:trPr>
        <w:tc>
          <w:tcPr>
            <w:tcW w:w="802"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SCTP参数管理</w:t>
            </w: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Device.Services.FAPService.{i}.Transport.SCTP.Enable</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Enable</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使能开关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Device.Services.FAPService.{i}.Transport.SCTP.RTOInitial</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RTOInitial</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重传超时的初始值</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Device.Services.FAPService.{i}.Transport.SCTP.RTOMin</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RTOMin</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重传超时的最小值</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Device.Services.FAPService.{i}.Transport.SCTP.RTOMax</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RTOMax</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重传超时的最大值</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Device.Services.FAPService.{i}.Transport.SCTP.MaxInitRetransmits</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MaxInitRetransmits</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最大初始重传数</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Device.Services.FAPService.{i}.Transport.SCTP.HBInterval</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HBInterval</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心跳时间间隔</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unsignedInt[1:]</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Device.Services.FAPService.{i}.Transport.SCTP.MaxPathRetransmits</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MaxPathRetransmits</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最大重传次数</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Device.Services.FAPService.{i}.Transport.SCTP.MaxAssociationRetransmits</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MaxAssociationRetransmits</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本端的最大连续重传数目</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25" w:hRule="atLeast"/>
        </w:trPr>
        <w:tc>
          <w:tcPr>
            <w:tcW w:w="802"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7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Device.Services.FAPService.{i}.Transport.SCTP.ValCookieLife</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ValCookieLife</w:t>
            </w:r>
          </w:p>
        </w:tc>
        <w:tc>
          <w:tcPr>
            <w:tcW w:w="170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有效cookie的生命周期</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bl>
    <w:p>
      <w:pPr>
        <w:pStyle w:val="3"/>
        <w:spacing w:line="360" w:lineRule="auto"/>
        <w:ind w:firstLine="0" w:firstLineChars="0"/>
        <w:rPr>
          <w:rFonts w:ascii="黑体" w:hAnsi="黑体" w:eastAsia="黑体"/>
          <w:sz w:val="21"/>
          <w:szCs w:val="21"/>
        </w:rPr>
      </w:pPr>
    </w:p>
    <w:p>
      <w:pPr>
        <w:pStyle w:val="4"/>
        <w:rPr>
          <w:rFonts w:ascii="黑体" w:hAnsi="黑体" w:eastAsia="黑体"/>
          <w:b w:val="0"/>
          <w:bCs w:val="0"/>
          <w:sz w:val="21"/>
          <w:szCs w:val="21"/>
        </w:rPr>
      </w:pPr>
      <w:r>
        <w:rPr>
          <w:rFonts w:ascii="黑体" w:hAnsi="黑体" w:eastAsia="黑体"/>
          <w:b w:val="0"/>
          <w:bCs w:val="0"/>
          <w:sz w:val="21"/>
          <w:szCs w:val="21"/>
        </w:rPr>
        <w:t xml:space="preserve"> </w:t>
      </w:r>
      <w:bookmarkStart w:id="29" w:name="_Toc89684818"/>
      <w:r>
        <w:rPr>
          <w:rFonts w:hint="eastAsia" w:ascii="黑体" w:hAnsi="黑体" w:eastAsia="黑体"/>
          <w:b w:val="0"/>
          <w:bCs w:val="0"/>
          <w:sz w:val="21"/>
          <w:szCs w:val="21"/>
        </w:rPr>
        <w:t>WAN口配置参数</w:t>
      </w:r>
      <w:bookmarkEnd w:id="29"/>
    </w:p>
    <w:p>
      <w:pPr>
        <w:jc w:val="center"/>
      </w:pPr>
      <w:r>
        <w:rPr>
          <w:rFonts w:hint="eastAsia"/>
        </w:rPr>
        <w:t>表1</w:t>
      </w:r>
      <w:r>
        <w:t>5</w:t>
      </w:r>
      <w:r>
        <w:rPr>
          <w:rFonts w:hint="eastAsia"/>
        </w:rPr>
        <w:t>：WAN口配置参数</w:t>
      </w:r>
    </w:p>
    <w:tbl>
      <w:tblPr>
        <w:tblStyle w:val="22"/>
        <w:tblW w:w="14737" w:type="dxa"/>
        <w:tblInd w:w="0" w:type="dxa"/>
        <w:tblLayout w:type="fixed"/>
        <w:tblCellMar>
          <w:top w:w="0" w:type="dxa"/>
          <w:left w:w="108" w:type="dxa"/>
          <w:bottom w:w="0" w:type="dxa"/>
          <w:right w:w="108" w:type="dxa"/>
        </w:tblCellMar>
      </w:tblPr>
      <w:tblGrid>
        <w:gridCol w:w="846"/>
        <w:gridCol w:w="5528"/>
        <w:gridCol w:w="1559"/>
        <w:gridCol w:w="1701"/>
        <w:gridCol w:w="709"/>
        <w:gridCol w:w="851"/>
        <w:gridCol w:w="1701"/>
        <w:gridCol w:w="1842"/>
      </w:tblGrid>
      <w:tr>
        <w:tblPrEx>
          <w:tblCellMar>
            <w:top w:w="0" w:type="dxa"/>
            <w:left w:w="108" w:type="dxa"/>
            <w:bottom w:w="0" w:type="dxa"/>
            <w:right w:w="108" w:type="dxa"/>
          </w:tblCellMar>
        </w:tblPrEx>
        <w:trPr>
          <w:trHeight w:val="525" w:hRule="atLeast"/>
        </w:trPr>
        <w:tc>
          <w:tcPr>
            <w:tcW w:w="846"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528"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559"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842"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70" w:hRule="atLeast"/>
        </w:trPr>
        <w:tc>
          <w:tcPr>
            <w:tcW w:w="846" w:type="dxa"/>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WAN口配置参数管理</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Device.Ethernet.Interface.{i}.Enable</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Enable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启用或禁用该接</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boolean</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(0,1)</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Device.Ethernet.Interface.{i}.Name</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Name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端口名称</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端口名称</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Device.Ethernet.Interface.{i}.Status</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Status</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表明接口的状态</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"Up","NoLink","Error","Disabled"</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Device.Ethernet.Interface.{i}.MACAddress</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MACAddress</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接口的物理地址</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string(17)</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Device.Ethernet.Interface.{i}.MaxBitRate</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MaxBitRate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该连接可用的最大速率模式</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"10","100","1000","Auto"</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Device.Ethernet.Interface.{i}.SignTransMedia</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SignTransMedia</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信号传送介质类型</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Device.Ethernet.Interface.{i}.DuplexMode</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DuplexMode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该连接使用的双工模式</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"Half","Full","Auto"</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Device.Ethernet.Interface.{i}.IPv4Address.{i}.IPAddress</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IPAddress</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IP 地址</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nil"/>
              <w:left w:val="nil"/>
              <w:bottom w:val="nil"/>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string(15)</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Device.Ethernet.Interface.{i}.IPv4Address.{i}.DefaultGateway</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DefaultGateway</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WAN 接口的默认网关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nil"/>
              <w:bottom w:val="nil"/>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string(15)</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Device.Ethernet.Interface.{i}.IPv4Address.{i}.SubnetMask</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SubnetMask</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WAN 接口的子网掩码</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nil"/>
              <w:bottom w:val="nil"/>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w:t>
            </w:r>
          </w:p>
        </w:tc>
      </w:tr>
      <w:tr>
        <w:trPr>
          <w:trHeight w:val="27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Device.Ethernet.Interface.{i}.IPv4Address.{i}.AddressingType</w:t>
            </w:r>
          </w:p>
        </w:tc>
        <w:tc>
          <w:tcPr>
            <w:tcW w:w="155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AddressingType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外部IP 地址方法</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"DHCP","Static"</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Device.Ethernet.Interface.{i}.IPv4Address.{i}.PortType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PortType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端口类型</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（Ng, Xn, Ng/Xn, S1, X2, S1/X2, F1, E1, other）</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Device.Ethernet.Interface.{i}.IPv6Address.{i}.IPAddress</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IPAddress</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IPv6 地址</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Device.Ethernet.Interface.{i}.IPv6Address.{i}.PrefixLength</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PrefixLength</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前缀长度</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unsignedInt[1:128]</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Device.Ethernet.Interface.{i}.IPv6Address.{i}.Origin</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Origin</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外部IP 来源</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"DHCPv6","Static"</w:t>
            </w:r>
          </w:p>
        </w:tc>
      </w:tr>
      <w:tr>
        <w:trPr>
          <w:trHeight w:val="450" w:hRule="atLeast"/>
        </w:trPr>
        <w:tc>
          <w:tcPr>
            <w:tcW w:w="846" w:type="dxa"/>
            <w:vMerge w:val="continue"/>
            <w:tcBorders>
              <w:left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Device.Ethernet.Interface.{i}.IPv6Address.{i}.PortType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PortType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端口类型</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（Ng, Xn, Ng/Xn, S1, X2, S1/X2, F1, E1, OAM,other）</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Device.Ethernet.Interface.{i}.IPv6Address.{i}.DefaultGateway</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DefaultGateway</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WAN 接口的默认网关</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restart"/>
            <w:tcBorders>
              <w:top w:val="single" w:color="auto" w:sz="4" w:space="0"/>
              <w:left w:val="single" w:color="auto" w:sz="4" w:space="0"/>
              <w:right w:val="single" w:color="auto" w:sz="4" w:space="0"/>
            </w:tcBorders>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vlan子接口配置参数管理</w:t>
            </w: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Device.Ethernet.Interface.{i}.VlanInterface.{i}.Name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Name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vlan子接口名称</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lang w:val="en-US" w:eastAsia="zh-CN"/>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vlan子接口名称</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Device.Ethernet.Interface.{i}.VlanInterface.{i}.Id</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Id</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 Id</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interger</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 Id</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Device.Ethernet.Interface.{i}.VlanInterface.{i}.Enable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Enable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启用或禁用该接口</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boolean</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(false:0,true:1)</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Device.Ethernet.Interface.{i}.VlanInterface.{i}.IPv4Address.{i}.IPAddress</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IPAddress</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 地址</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string(15)</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Device.Ethernet.Interface.{i}.VlanInterface.{i}.IPv4Address.{i}.SubnetMask</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SubnetMask</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vlan子接口的子网掩码</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Device.Ethernet.Interface.{i}.VlanInterface.{i}.IPv4Address.{i}.AddressingType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AddressingType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外部IP 地址方法</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"DHCP","Static"</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Device.Ethernet.Interface.{i}.VlanInterface.{i}.IPv4Address.{i}.DefaultGateway</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DefaultGateway</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vlan子接口的默认网关</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string(15)</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Device.Ethernet.Interface.{i}.VlanInterface.{i}.IPv4Address.{i}.PortType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PortType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端口类型</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（Ng, Xn, Ng/Xn, S1, X2, S1/X2, F1, E1, OAM,IR,other）</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Device.Ethernet.Interface.{i}.VlanInterface.{i}.IPv6Address.{i}.IPAddress</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IPAddress</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IPv6 地址</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Device.Ethernet.Interface.{i}.VlanInterface.{i}.IPv6Address.{i}.PrefixLength</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PrefixLength</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前缀长度</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unsignedInt[1:128]</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Device.Ethernet.Interface.{i}.VlanInterface.{i}.IPv6Address.{i}.Origin</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Origin</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外部IP 来源</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"DHCPv6","Static"</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Device.Ethernet.Interface.{i}.VlanInterface.{i}.IPv6Address.{i}.DefaultGateway</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DefaultGateway</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vlan子接口的默认网关</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w:t>
            </w:r>
          </w:p>
        </w:tc>
      </w:tr>
      <w:tr>
        <w:trPr>
          <w:trHeight w:val="450"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Device.Ethernet.Interface.{i}.VlanInterface.{i}.IPv6Address.{i}.PortType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PortType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端口类型</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M</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R</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（Ng, Xn, Ng/Xn, S1, X2, S1/X2, F1, E1, IR,other）</w:t>
            </w:r>
          </w:p>
        </w:tc>
      </w:tr>
      <w:tr>
        <w:tblPrEx>
          <w:tblCellMar>
            <w:top w:w="0" w:type="dxa"/>
            <w:left w:w="108" w:type="dxa"/>
            <w:bottom w:w="0" w:type="dxa"/>
            <w:right w:w="108" w:type="dxa"/>
          </w:tblCellMar>
        </w:tblPrEx>
        <w:trPr>
          <w:trHeight w:val="450" w:hRule="atLeast"/>
        </w:trPr>
        <w:tc>
          <w:tcPr>
            <w:tcW w:w="846"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p>
        </w:tc>
      </w:tr>
      <w:tr>
        <w:tblPrEx>
          <w:tblCellMar>
            <w:top w:w="0" w:type="dxa"/>
            <w:left w:w="108" w:type="dxa"/>
            <w:bottom w:w="0" w:type="dxa"/>
            <w:right w:w="108" w:type="dxa"/>
          </w:tblCellMar>
        </w:tblPrEx>
        <w:trPr>
          <w:trHeight w:val="450" w:hRule="atLeast"/>
        </w:trPr>
        <w:tc>
          <w:tcPr>
            <w:tcW w:w="846" w:type="dxa"/>
            <w:vMerge w:val="restart"/>
            <w:tcBorders>
              <w:top w:val="single" w:color="auto" w:sz="4" w:space="0"/>
              <w:left w:val="single" w:color="auto" w:sz="4" w:space="0"/>
              <w:right w:val="single" w:color="auto" w:sz="4" w:space="0"/>
            </w:tcBorders>
            <w:vAlign w:val="center"/>
          </w:tcPr>
          <w:p>
            <w:pPr>
              <w:widowControl/>
              <w:jc w:val="left"/>
              <w:rPr>
                <w:rFonts w:hint="eastAsia" w:ascii="宋体" w:hAnsi="宋体" w:cs="宋体"/>
                <w:b/>
                <w:bCs/>
                <w:kern w:val="0"/>
                <w:sz w:val="18"/>
                <w:szCs w:val="18"/>
              </w:rPr>
            </w:pPr>
            <w:r>
              <w:rPr>
                <w:rFonts w:hint="eastAsia" w:ascii="宋体" w:hAnsi="宋体" w:cs="宋体"/>
                <w:b/>
                <w:bCs/>
                <w:kern w:val="0"/>
                <w:sz w:val="18"/>
                <w:szCs w:val="18"/>
              </w:rPr>
              <w:t>本地路由配置参数管理</w:t>
            </w: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Device.Ethernet.IpRoute.{i}.IpVer</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IpVer</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IP地址版本</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default" w:ascii="宋体" w:hAnsi="宋体" w:eastAsia="宋体" w:cs="宋体"/>
                <w:kern w:val="0"/>
                <w:sz w:val="18"/>
                <w:szCs w:val="18"/>
                <w:lang w:val="en-US" w:eastAsia="zh-CN"/>
              </w:rPr>
            </w:pPr>
            <w:r>
              <w:rPr>
                <w:rFonts w:hint="eastAsia" w:ascii="宋体" w:hAnsi="宋体" w:cs="宋体"/>
                <w:kern w:val="0"/>
                <w:sz w:val="18"/>
                <w:szCs w:val="18"/>
                <w:lang w:val="en-US" w:eastAsia="zh-CN"/>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unsignedInt[1:2]</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1:IPv4</w:t>
            </w:r>
          </w:p>
          <w:p>
            <w:pPr>
              <w:widowControl/>
              <w:jc w:val="center"/>
              <w:rPr>
                <w:rFonts w:hint="eastAsia" w:ascii="宋体" w:hAnsi="宋体" w:cs="宋体"/>
                <w:kern w:val="0"/>
                <w:sz w:val="18"/>
                <w:szCs w:val="18"/>
              </w:rPr>
            </w:pPr>
            <w:r>
              <w:rPr>
                <w:rFonts w:hint="eastAsia" w:ascii="宋体" w:hAnsi="宋体" w:cs="宋体"/>
                <w:kern w:val="0"/>
                <w:sz w:val="18"/>
                <w:szCs w:val="18"/>
              </w:rPr>
              <w:t>2:IPv6</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Device.Ethernet.IpRoute.{i}.DstIpNetwork</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DstIpNetwork</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目的网段</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Device.Ethernet.IpRoute.{i}.PrefixLength</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PrefixLength</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前缀长度</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unsignedInt[0:128]</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color w:val="000000"/>
                <w:kern w:val="0"/>
                <w:sz w:val="18"/>
                <w:szCs w:val="18"/>
              </w:rPr>
              <w:t>/</w:t>
            </w:r>
          </w:p>
        </w:tc>
      </w:tr>
      <w:tr>
        <w:trPr>
          <w:trHeight w:val="450" w:hRule="atLeast"/>
        </w:trPr>
        <w:tc>
          <w:tcPr>
            <w:tcW w:w="846" w:type="dxa"/>
            <w:vMerge w:val="continue"/>
            <w:tcBorders>
              <w:left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Device.Ethernet.IpRoute.{i}.GatewayIpAddress</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GatewayIpAddress</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网关地址</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string(64)</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450" w:hRule="atLeast"/>
        </w:trPr>
        <w:tc>
          <w:tcPr>
            <w:tcW w:w="846" w:type="dxa"/>
            <w:vMerge w:val="continue"/>
            <w:tcBorders>
              <w:left w:val="single" w:color="auto" w:sz="4" w:space="0"/>
              <w:bottom w:val="single" w:color="auto" w:sz="4" w:space="0"/>
              <w:right w:val="single" w:color="auto" w:sz="4" w:space="0"/>
            </w:tcBorders>
            <w:vAlign w:val="center"/>
          </w:tcPr>
          <w:p>
            <w:pPr>
              <w:widowControl/>
              <w:jc w:val="left"/>
              <w:rPr>
                <w:rFonts w:hint="eastAsia" w:ascii="宋体" w:hAnsi="宋体" w:cs="宋体"/>
                <w:b/>
                <w:bCs/>
                <w:kern w:val="0"/>
                <w:sz w:val="18"/>
                <w:szCs w:val="18"/>
              </w:rPr>
            </w:pPr>
          </w:p>
        </w:tc>
        <w:tc>
          <w:tcPr>
            <w:tcW w:w="55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Device.Ethernet.IpRoute.{i}.InterfaceName</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InterfaceName</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rPr>
              <w:t>端口名称</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O</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kern w:val="0"/>
                <w:sz w:val="18"/>
                <w:szCs w:val="18"/>
                <w:lang w:val="en-US" w:eastAsia="zh-CN"/>
              </w:rPr>
              <w:t>RW</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kern w:val="0"/>
                <w:sz w:val="18"/>
                <w:szCs w:val="18"/>
              </w:rPr>
            </w:pPr>
            <w:r>
              <w:rPr>
                <w:rFonts w:hint="eastAsia" w:ascii="宋体" w:hAnsi="宋体" w:cs="宋体"/>
                <w:kern w:val="0"/>
                <w:sz w:val="18"/>
                <w:szCs w:val="18"/>
              </w:rPr>
              <w:t>string</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cs="宋体"/>
                <w:kern w:val="0"/>
                <w:sz w:val="18"/>
                <w:szCs w:val="18"/>
              </w:rPr>
            </w:pPr>
            <w:r>
              <w:rPr>
                <w:rFonts w:hint="eastAsia" w:ascii="宋体" w:hAnsi="宋体" w:cs="宋体"/>
                <w:color w:val="000000"/>
                <w:kern w:val="0"/>
                <w:sz w:val="18"/>
                <w:szCs w:val="18"/>
              </w:rPr>
              <w:t>端口名称</w:t>
            </w:r>
          </w:p>
        </w:tc>
      </w:tr>
    </w:tbl>
    <w:p>
      <w:pPr>
        <w:pStyle w:val="3"/>
        <w:spacing w:line="360" w:lineRule="auto"/>
        <w:ind w:firstLine="0" w:firstLineChars="0"/>
        <w:rPr>
          <w:rFonts w:ascii="宋体" w:hAnsi="宋体" w:cs="宋体"/>
          <w:kern w:val="0"/>
          <w:sz w:val="18"/>
          <w:szCs w:val="18"/>
        </w:rPr>
      </w:pPr>
    </w:p>
    <w:p>
      <w:pPr>
        <w:pStyle w:val="4"/>
        <w:rPr>
          <w:rFonts w:ascii="黑体" w:hAnsi="黑体" w:eastAsia="黑体"/>
          <w:b w:val="0"/>
          <w:bCs w:val="0"/>
          <w:sz w:val="21"/>
          <w:szCs w:val="21"/>
        </w:rPr>
      </w:pPr>
      <w:bookmarkStart w:id="30" w:name="_Toc89684819"/>
      <w:r>
        <w:rPr>
          <w:rFonts w:hint="eastAsia" w:ascii="黑体" w:hAnsi="黑体" w:eastAsia="黑体"/>
          <w:b w:val="0"/>
          <w:bCs w:val="0"/>
          <w:sz w:val="21"/>
          <w:szCs w:val="21"/>
        </w:rPr>
        <w:t>时间服务器参数</w:t>
      </w:r>
      <w:bookmarkEnd w:id="30"/>
    </w:p>
    <w:p>
      <w:pPr>
        <w:jc w:val="center"/>
      </w:pPr>
      <w:r>
        <w:rPr>
          <w:rFonts w:hint="eastAsia"/>
        </w:rPr>
        <w:t>表1</w:t>
      </w:r>
      <w:r>
        <w:t>6</w:t>
      </w:r>
      <w:r>
        <w:rPr>
          <w:rFonts w:hint="eastAsia"/>
        </w:rPr>
        <w:t>：时间服务器参数</w:t>
      </w:r>
    </w:p>
    <w:tbl>
      <w:tblPr>
        <w:tblStyle w:val="22"/>
        <w:tblW w:w="14737" w:type="dxa"/>
        <w:tblInd w:w="0" w:type="dxa"/>
        <w:tblLayout w:type="autofit"/>
        <w:tblCellMar>
          <w:top w:w="0" w:type="dxa"/>
          <w:left w:w="108" w:type="dxa"/>
          <w:bottom w:w="0" w:type="dxa"/>
          <w:right w:w="108" w:type="dxa"/>
        </w:tblCellMar>
      </w:tblPr>
      <w:tblGrid>
        <w:gridCol w:w="829"/>
        <w:gridCol w:w="5430"/>
        <w:gridCol w:w="1746"/>
        <w:gridCol w:w="1657"/>
        <w:gridCol w:w="698"/>
        <w:gridCol w:w="834"/>
        <w:gridCol w:w="1701"/>
        <w:gridCol w:w="1842"/>
      </w:tblGrid>
      <w:tr>
        <w:tblPrEx>
          <w:tblCellMar>
            <w:top w:w="0" w:type="dxa"/>
            <w:left w:w="108" w:type="dxa"/>
            <w:bottom w:w="0" w:type="dxa"/>
            <w:right w:w="108" w:type="dxa"/>
          </w:tblCellMar>
        </w:tblPrEx>
        <w:trPr>
          <w:trHeight w:val="480" w:hRule="atLeast"/>
        </w:trPr>
        <w:tc>
          <w:tcPr>
            <w:tcW w:w="846"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5528"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559"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701"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842"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40" w:hRule="atLeast"/>
        </w:trPr>
        <w:tc>
          <w:tcPr>
            <w:tcW w:w="84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时间服务器参数管理</w:t>
            </w: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Device.Time.Enable</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Enable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NTP使能开关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Device.Time.NTPServer1</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NTPServer1</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NTP服务器1</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Device.Time.NTPServer2</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NTPServer2</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NTP服务器2</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Device.Time.NTPServer3</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NTPServer3</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NTP服务器3</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Device.Time.NTPServer4</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NTPServer4</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NTP服务器4</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Device.Time.NTPServer5</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NTPServer5</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NTP服务器5</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string(64)</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Device.Time.CurrentLocalTime</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CurrentLocalTime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本地时间</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dateTime</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color w:val="000000"/>
                <w:kern w:val="0"/>
                <w:sz w:val="18"/>
                <w:szCs w:val="18"/>
              </w:rPr>
            </w:pPr>
          </w:p>
        </w:tc>
        <w:tc>
          <w:tcPr>
            <w:tcW w:w="5528"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Device.Time.LocalTimeZone</w:t>
            </w:r>
            <w:r>
              <w:rPr>
                <w:rFonts w:hint="eastAsia" w:ascii="宋体" w:hAnsi="宋体" w:cs="宋体"/>
                <w:color w:val="000000"/>
                <w:kern w:val="0"/>
                <w:sz w:val="18"/>
                <w:szCs w:val="18"/>
                <w:lang w:val="en-US" w:eastAsia="zh-CN"/>
              </w:rPr>
              <w:t>Name</w:t>
            </w:r>
          </w:p>
        </w:tc>
        <w:tc>
          <w:tcPr>
            <w:tcW w:w="1559"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LocalTimeZone</w:t>
            </w:r>
            <w:r>
              <w:rPr>
                <w:rFonts w:hint="eastAsia" w:ascii="宋体" w:hAnsi="宋体" w:cs="宋体"/>
                <w:color w:val="000000"/>
                <w:kern w:val="0"/>
                <w:sz w:val="18"/>
                <w:szCs w:val="18"/>
                <w:lang w:val="en-US" w:eastAsia="zh-CN"/>
              </w:rPr>
              <w:t>Name</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本地时区</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w:t>
            </w:r>
          </w:p>
        </w:tc>
        <w:tc>
          <w:tcPr>
            <w:tcW w:w="851"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string(6)</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r>
    </w:tbl>
    <w:p>
      <w:pPr>
        <w:pStyle w:val="3"/>
        <w:spacing w:line="360" w:lineRule="auto"/>
        <w:ind w:firstLine="0" w:firstLineChars="0"/>
        <w:rPr>
          <w:rFonts w:ascii="宋体" w:hAnsi="宋体" w:cs="宋体"/>
          <w:kern w:val="0"/>
          <w:sz w:val="18"/>
          <w:szCs w:val="18"/>
        </w:rPr>
      </w:pPr>
    </w:p>
    <w:p>
      <w:pPr>
        <w:pStyle w:val="4"/>
        <w:rPr>
          <w:rFonts w:ascii="黑体" w:hAnsi="黑体" w:eastAsia="黑体"/>
          <w:b w:val="0"/>
          <w:bCs w:val="0"/>
          <w:sz w:val="21"/>
          <w:szCs w:val="21"/>
        </w:rPr>
      </w:pPr>
      <w:r>
        <w:rPr>
          <w:rFonts w:ascii="黑体" w:hAnsi="黑体" w:eastAsia="黑体"/>
          <w:b w:val="0"/>
          <w:bCs w:val="0"/>
          <w:sz w:val="21"/>
          <w:szCs w:val="21"/>
        </w:rPr>
        <w:t xml:space="preserve"> </w:t>
      </w:r>
      <w:bookmarkStart w:id="31" w:name="_Toc89684820"/>
      <w:r>
        <w:rPr>
          <w:rFonts w:hint="eastAsia" w:ascii="黑体" w:hAnsi="黑体" w:eastAsia="黑体"/>
          <w:b w:val="0"/>
          <w:bCs w:val="0"/>
          <w:sz w:val="21"/>
          <w:szCs w:val="21"/>
        </w:rPr>
        <w:t>GPS信息参数</w:t>
      </w:r>
      <w:bookmarkEnd w:id="31"/>
    </w:p>
    <w:p>
      <w:pPr>
        <w:jc w:val="center"/>
      </w:pPr>
      <w:r>
        <w:rPr>
          <w:rFonts w:hint="eastAsia"/>
        </w:rPr>
        <w:t>表1</w:t>
      </w:r>
      <w:r>
        <w:t>7</w:t>
      </w:r>
      <w:r>
        <w:rPr>
          <w:rFonts w:hint="eastAsia"/>
        </w:rPr>
        <w:t>：GPS信息参数</w:t>
      </w:r>
    </w:p>
    <w:tbl>
      <w:tblPr>
        <w:tblStyle w:val="22"/>
        <w:tblW w:w="14780" w:type="dxa"/>
        <w:tblInd w:w="0" w:type="dxa"/>
        <w:tblLayout w:type="autofit"/>
        <w:tblCellMar>
          <w:top w:w="0" w:type="dxa"/>
          <w:left w:w="108" w:type="dxa"/>
          <w:bottom w:w="0" w:type="dxa"/>
          <w:right w:w="108" w:type="dxa"/>
        </w:tblCellMar>
      </w:tblPr>
      <w:tblGrid>
        <w:gridCol w:w="1620"/>
        <w:gridCol w:w="3360"/>
        <w:gridCol w:w="1860"/>
        <w:gridCol w:w="1093"/>
        <w:gridCol w:w="993"/>
        <w:gridCol w:w="1417"/>
        <w:gridCol w:w="2552"/>
        <w:gridCol w:w="1885"/>
      </w:tblGrid>
      <w:tr>
        <w:tblPrEx>
          <w:tblCellMar>
            <w:top w:w="0" w:type="dxa"/>
            <w:left w:w="108" w:type="dxa"/>
            <w:bottom w:w="0" w:type="dxa"/>
            <w:right w:w="108" w:type="dxa"/>
          </w:tblCellMar>
        </w:tblPrEx>
        <w:trPr>
          <w:trHeight w:val="465" w:hRule="atLeast"/>
        </w:trPr>
        <w:tc>
          <w:tcPr>
            <w:tcW w:w="1620"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3360"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860"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093"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993"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1417"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2552"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1885"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40" w:hRule="atLeast"/>
        </w:trPr>
        <w:tc>
          <w:tcPr>
            <w:tcW w:w="1620"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GPS 经纬度信息</w:t>
            </w:r>
          </w:p>
        </w:tc>
        <w:tc>
          <w:tcPr>
            <w:tcW w:w="3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Device.FAP.GPS.LockedLatitude</w:t>
            </w:r>
          </w:p>
        </w:tc>
        <w:tc>
          <w:tcPr>
            <w:tcW w:w="1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LockedLatitude</w:t>
            </w:r>
          </w:p>
        </w:tc>
        <w:tc>
          <w:tcPr>
            <w:tcW w:w="10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纬度</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255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int[-90000000:90000000]</w:t>
            </w:r>
          </w:p>
        </w:tc>
        <w:tc>
          <w:tcPr>
            <w:tcW w:w="188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40" w:hRule="atLeast"/>
        </w:trPr>
        <w:tc>
          <w:tcPr>
            <w:tcW w:w="162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Device.FAP.GPS.LockedLongitude</w:t>
            </w:r>
          </w:p>
        </w:tc>
        <w:tc>
          <w:tcPr>
            <w:tcW w:w="1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LockedLongitude</w:t>
            </w:r>
          </w:p>
        </w:tc>
        <w:tc>
          <w:tcPr>
            <w:tcW w:w="10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经度</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255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int[-180000000:180000000]</w:t>
            </w:r>
          </w:p>
        </w:tc>
        <w:tc>
          <w:tcPr>
            <w:tcW w:w="188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40" w:hRule="atLeast"/>
        </w:trPr>
        <w:tc>
          <w:tcPr>
            <w:tcW w:w="162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3360"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Device.FAP.GPS.NumberOfSatellites</w:t>
            </w:r>
          </w:p>
        </w:tc>
        <w:tc>
          <w:tcPr>
            <w:tcW w:w="18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NumberOfSatellites</w:t>
            </w:r>
          </w:p>
        </w:tc>
        <w:tc>
          <w:tcPr>
            <w:tcW w:w="10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星个数</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O</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t>
            </w:r>
          </w:p>
        </w:tc>
        <w:tc>
          <w:tcPr>
            <w:tcW w:w="255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unsignedInt</w:t>
            </w:r>
          </w:p>
        </w:tc>
        <w:tc>
          <w:tcPr>
            <w:tcW w:w="1885"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w:t>
            </w:r>
          </w:p>
        </w:tc>
      </w:tr>
    </w:tbl>
    <w:p>
      <w:pPr>
        <w:pStyle w:val="3"/>
        <w:spacing w:line="360" w:lineRule="auto"/>
        <w:ind w:firstLine="0" w:firstLineChars="0"/>
        <w:rPr>
          <w:rFonts w:ascii="宋体" w:hAnsi="宋体" w:cs="宋体"/>
          <w:kern w:val="0"/>
          <w:sz w:val="18"/>
          <w:szCs w:val="18"/>
        </w:rPr>
      </w:pPr>
    </w:p>
    <w:p>
      <w:pPr>
        <w:pStyle w:val="4"/>
        <w:rPr>
          <w:rFonts w:ascii="黑体" w:hAnsi="黑体" w:eastAsia="黑体"/>
          <w:b w:val="0"/>
          <w:bCs w:val="0"/>
          <w:sz w:val="21"/>
          <w:szCs w:val="21"/>
        </w:rPr>
      </w:pPr>
      <w:bookmarkStart w:id="32" w:name="_Toc89684821"/>
      <w:r>
        <w:rPr>
          <w:rFonts w:hint="eastAsia" w:ascii="黑体" w:hAnsi="黑体" w:eastAsia="黑体"/>
          <w:b w:val="0"/>
          <w:bCs w:val="0"/>
          <w:sz w:val="21"/>
          <w:szCs w:val="21"/>
        </w:rPr>
        <w:t>MR参数</w:t>
      </w:r>
      <w:bookmarkEnd w:id="32"/>
    </w:p>
    <w:p>
      <w:pPr>
        <w:jc w:val="center"/>
      </w:pPr>
      <w:r>
        <w:rPr>
          <w:rFonts w:hint="eastAsia"/>
        </w:rPr>
        <w:t>表1</w:t>
      </w:r>
      <w:r>
        <w:t>8</w:t>
      </w:r>
      <w:r>
        <w:rPr>
          <w:rFonts w:hint="eastAsia"/>
        </w:rPr>
        <w:t>：MR参数</w:t>
      </w:r>
    </w:p>
    <w:tbl>
      <w:tblPr>
        <w:tblStyle w:val="22"/>
        <w:tblW w:w="14747"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3402"/>
        <w:gridCol w:w="1404"/>
        <w:gridCol w:w="1006"/>
        <w:gridCol w:w="708"/>
        <w:gridCol w:w="993"/>
        <w:gridCol w:w="992"/>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3402"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404" w:type="dxa"/>
            <w:shd w:val="clear" w:color="000000" w:fill="D8D8D8"/>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006"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8"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993"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992"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4819" w:type="dxa"/>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trPr>
        <w:tc>
          <w:tcPr>
            <w:tcW w:w="1423" w:type="dxa"/>
            <w:vMerge w:val="restart"/>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MR参数管理</w:t>
            </w: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Device.FAP.MRMgmt.Config.{i}.UserLabel</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UserLabel</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用户友好名</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字段必须与OMC系统内配置资源名称保持一致。且要求UserLabel与告警、性能数据中同一资源对象使用的网元用户友好名保持一致，即用户友有好名在OMC内部以及北向接口交互过程中全局唯一。默认为空字符串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Device.FAP.MRMgmt.Config.{i}.MrEnable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MrEnable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MR开关</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boolean</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开启或关闭微站周期性上传MR数据文件到指定文件服务器的能力，(0=false,1=true)。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Device.FAP.MRMgmt.Config.{i}.MrUrl</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MrUrl</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Url地址</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string(256)</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MRUrl详细说明了目标文件位置。该参数只用于详细描述目标文件位置，不用于指示任何要上载的本地文件的名字和位置。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Device.FAP.MRMgmt.Config.{i}.MrUsername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MrUsername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用户名</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string(256)</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用户名用于微站到文件服务器的鉴权，如果不需要鉴权，此字符串为空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Device.FAP.MRMgmt.Config.{i}.MrPassword</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MrPassword</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密码</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string(256)</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密码用于 微站到文件服务器的鉴权，如果不需要鉴权，此字符串为空当为读时，该参数返回一个空字符串，而不是一个实际的值。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Device.FAP.MRMgmt.Config.{i}.MeasureType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MeasureType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MR文件类型</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auto" w:fill="auto"/>
            <w:vAlign w:val="center"/>
          </w:tcPr>
          <w:p>
            <w:pPr>
              <w:widowControl/>
              <w:jc w:val="left"/>
              <w:rPr>
                <w:rFonts w:ascii="宋体" w:hAnsi="宋体" w:cs="宋体"/>
                <w:color w:val="000000"/>
                <w:kern w:val="0"/>
                <w:sz w:val="18"/>
                <w:szCs w:val="18"/>
              </w:rPr>
            </w:pPr>
            <w:r>
              <w:rPr>
                <w:color w:val="000000"/>
                <w:kern w:val="0"/>
                <w:sz w:val="18"/>
                <w:szCs w:val="18"/>
              </w:rPr>
              <w:t>MR</w:t>
            </w:r>
            <w:r>
              <w:rPr>
                <w:rFonts w:hint="eastAsia" w:ascii="宋体" w:hAnsi="宋体" w:cs="宋体"/>
                <w:color w:val="000000"/>
                <w:kern w:val="0"/>
                <w:sz w:val="18"/>
                <w:szCs w:val="18"/>
              </w:rPr>
              <w:t>文件类型，可以选择一种或多种，如开启多种测量类型，需要</w:t>
            </w:r>
            <w:r>
              <w:rPr>
                <w:color w:val="000000"/>
                <w:kern w:val="0"/>
                <w:sz w:val="18"/>
                <w:szCs w:val="18"/>
              </w:rPr>
              <w:t>“,”</w:t>
            </w:r>
            <w:r>
              <w:rPr>
                <w:rFonts w:hint="eastAsia" w:ascii="宋体" w:hAnsi="宋体" w:cs="宋体"/>
                <w:color w:val="000000"/>
                <w:kern w:val="0"/>
                <w:sz w:val="18"/>
                <w:szCs w:val="18"/>
              </w:rPr>
              <w:t>进行分隔（</w:t>
            </w:r>
            <w:r>
              <w:rPr>
                <w:color w:val="000000"/>
                <w:kern w:val="0"/>
                <w:sz w:val="18"/>
                <w:szCs w:val="18"/>
              </w:rPr>
              <w:t>{MRO,MRE,MRS}</w:t>
            </w:r>
            <w:r>
              <w:rPr>
                <w:rFonts w:hint="eastAsia" w:ascii="宋体" w:hAnsi="宋体" w:cs="宋体"/>
                <w:color w:val="000000"/>
                <w:kern w:val="0"/>
                <w:sz w:val="18"/>
                <w:szCs w:val="18"/>
              </w:rPr>
              <w:t>）。</w:t>
            </w:r>
            <w:r>
              <w:rPr>
                <w:color w:val="000000"/>
                <w:kern w:val="0"/>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Device.FAP.MRMgmt.Config.{i}.OmcName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OmcName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OMC-R名称</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auto" w:fill="auto"/>
            <w:vAlign w:val="center"/>
          </w:tcPr>
          <w:p>
            <w:pPr>
              <w:widowControl/>
              <w:jc w:val="left"/>
              <w:rPr>
                <w:rFonts w:ascii="宋体" w:hAnsi="宋体" w:cs="宋体"/>
                <w:color w:val="000000"/>
                <w:kern w:val="0"/>
                <w:sz w:val="18"/>
                <w:szCs w:val="18"/>
              </w:rPr>
            </w:pPr>
            <w:r>
              <w:rPr>
                <w:color w:val="000000"/>
                <w:kern w:val="0"/>
                <w:sz w:val="18"/>
                <w:szCs w:val="18"/>
              </w:rPr>
              <w:t>OMC-R</w:t>
            </w:r>
            <w:r>
              <w:rPr>
                <w:rFonts w:hint="eastAsia" w:ascii="宋体" w:hAnsi="宋体" w:cs="宋体"/>
                <w:color w:val="000000"/>
                <w:kern w:val="0"/>
                <w:sz w:val="18"/>
                <w:szCs w:val="18"/>
              </w:rPr>
              <w:t>名称，用与基站生成的</w:t>
            </w:r>
            <w:r>
              <w:rPr>
                <w:color w:val="000000"/>
                <w:kern w:val="0"/>
                <w:sz w:val="18"/>
                <w:szCs w:val="18"/>
              </w:rPr>
              <w:t>MR</w:t>
            </w:r>
            <w:r>
              <w:rPr>
                <w:rFonts w:hint="eastAsia" w:ascii="宋体" w:hAnsi="宋体" w:cs="宋体"/>
                <w:color w:val="000000"/>
                <w:kern w:val="0"/>
                <w:sz w:val="18"/>
                <w:szCs w:val="18"/>
              </w:rPr>
              <w:t>文件命名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Device.FAP.MRMgmt.Config.{i}.MRNCGIList</w:t>
            </w:r>
          </w:p>
        </w:tc>
        <w:tc>
          <w:tcPr>
            <w:tcW w:w="1404"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MRNCGIList</w:t>
            </w:r>
          </w:p>
        </w:tc>
        <w:tc>
          <w:tcPr>
            <w:tcW w:w="1006"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MR小区列表</w:t>
            </w:r>
          </w:p>
        </w:tc>
        <w:tc>
          <w:tcPr>
            <w:tcW w:w="708"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NCGI列表，表示哪些小区需要执行MR任务</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all代表基站下所有小区都采集,NCGI由PLMN和NCI组成，PLMN与NCI之间使用“-”分割，NCGI之间使用“,”分割，例如，“46000-107909121，46000-107909122”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Device.FAP.MRMgmt.Config.{i}.SamplePeriod</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SamplePeriod</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MR采样周期</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4819" w:type="dxa"/>
            <w:shd w:val="clear" w:color="auto" w:fill="auto"/>
            <w:vAlign w:val="center"/>
          </w:tcPr>
          <w:p>
            <w:pPr>
              <w:widowControl/>
              <w:jc w:val="left"/>
              <w:rPr>
                <w:rFonts w:ascii="宋体" w:hAnsi="宋体" w:cs="宋体"/>
                <w:color w:val="000000"/>
                <w:kern w:val="0"/>
                <w:sz w:val="18"/>
                <w:szCs w:val="18"/>
              </w:rPr>
            </w:pPr>
            <w:r>
              <w:rPr>
                <w:color w:val="000000"/>
                <w:kern w:val="0"/>
                <w:sz w:val="18"/>
                <w:szCs w:val="18"/>
              </w:rPr>
              <w:t>MR</w:t>
            </w:r>
            <w:r>
              <w:rPr>
                <w:rFonts w:hint="eastAsia" w:ascii="宋体" w:hAnsi="宋体" w:cs="宋体"/>
                <w:color w:val="000000"/>
                <w:kern w:val="0"/>
                <w:sz w:val="18"/>
                <w:szCs w:val="18"/>
              </w:rPr>
              <w:t>采样周期（</w:t>
            </w:r>
            <w:r>
              <w:rPr>
                <w:color w:val="000000"/>
                <w:kern w:val="0"/>
                <w:sz w:val="18"/>
                <w:szCs w:val="18"/>
              </w:rPr>
              <w:t>[2048,5120,10240,60000,360000,720000,1800000,3600000],(</w:t>
            </w:r>
            <w:r>
              <w:rPr>
                <w:rFonts w:hint="eastAsia" w:ascii="宋体" w:hAnsi="宋体" w:cs="宋体"/>
                <w:color w:val="000000"/>
                <w:kern w:val="0"/>
                <w:sz w:val="18"/>
                <w:szCs w:val="18"/>
              </w:rPr>
              <w:t>单位毫秒</w:t>
            </w:r>
            <w:r>
              <w:rPr>
                <w:color w:val="000000"/>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Device.FAP.MRMgmt.Config.{i}.UploadPeriod</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UploadPeriod</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MR采集周期</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unsignedInt</w:t>
            </w:r>
          </w:p>
        </w:tc>
        <w:tc>
          <w:tcPr>
            <w:tcW w:w="4819" w:type="dxa"/>
            <w:shd w:val="clear" w:color="auto" w:fill="auto"/>
            <w:vAlign w:val="center"/>
          </w:tcPr>
          <w:p>
            <w:pPr>
              <w:widowControl/>
              <w:jc w:val="left"/>
              <w:rPr>
                <w:rFonts w:ascii="宋体" w:hAnsi="宋体" w:cs="宋体"/>
                <w:color w:val="000000"/>
                <w:kern w:val="0"/>
                <w:sz w:val="18"/>
                <w:szCs w:val="18"/>
              </w:rPr>
            </w:pPr>
            <w:r>
              <w:rPr>
                <w:color w:val="000000"/>
                <w:kern w:val="0"/>
                <w:sz w:val="18"/>
                <w:szCs w:val="18"/>
              </w:rPr>
              <w:t>MR</w:t>
            </w:r>
            <w:r>
              <w:rPr>
                <w:rFonts w:hint="eastAsia" w:ascii="宋体" w:hAnsi="宋体" w:cs="宋体"/>
                <w:color w:val="000000"/>
                <w:kern w:val="0"/>
                <w:sz w:val="18"/>
                <w:szCs w:val="18"/>
              </w:rPr>
              <w:t>采集周期</w:t>
            </w:r>
            <w:r>
              <w:rPr>
                <w:color w:val="000000"/>
                <w:kern w:val="0"/>
                <w:sz w:val="18"/>
                <w:szCs w:val="18"/>
              </w:rPr>
              <w:t>[1:] (1</w:t>
            </w:r>
            <w:r>
              <w:rPr>
                <w:rFonts w:hint="eastAsia" w:ascii="宋体" w:hAnsi="宋体" w:cs="宋体"/>
                <w:color w:val="000000"/>
                <w:kern w:val="0"/>
                <w:sz w:val="18"/>
                <w:szCs w:val="18"/>
              </w:rPr>
              <w:t>及</w:t>
            </w:r>
            <w:r>
              <w:rPr>
                <w:color w:val="000000"/>
                <w:kern w:val="0"/>
                <w:sz w:val="18"/>
                <w:szCs w:val="18"/>
              </w:rPr>
              <w:t>1</w:t>
            </w:r>
            <w:r>
              <w:rPr>
                <w:rFonts w:hint="eastAsia" w:ascii="宋体" w:hAnsi="宋体" w:cs="宋体"/>
                <w:color w:val="000000"/>
                <w:kern w:val="0"/>
                <w:sz w:val="18"/>
                <w:szCs w:val="18"/>
              </w:rPr>
              <w:t>的倍数，单位分钟</w:t>
            </w:r>
            <w:r>
              <w:rPr>
                <w:color w:val="000000"/>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Device.FAP.MRMgmt.Config.{i}.SampleBeginTime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SampleBeginTime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绝对时间参考</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dateTime</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是UTC中的一个绝对时间参考，用于决定微站何时开始测量任务，当任务开始后，将周期文件上载;参考时间，或未知的时间，值定义为0001-01-01T00:00:00Z，表明没有指定精确的时间参考。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Device.FAP.MRMgmt.Config.{i}.SampleEndTime</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SampleEndTime</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绝对时间参考</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dateTime</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是UTC中的一个绝对时间参考，用于决定微站何时结束测量任务，当结束后将不再上载MR文件;参考时间，或未知的时间，值定义为0001-01-01T00:00:00Z，表明没有指定精确的时间参考。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Device.FAP.MRMgmt.Config.{i}.PrbNum</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PrbNum</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子帧的PRB</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需要开启接收干扰功率测量的上行子帧的</w:t>
            </w:r>
            <w:r>
              <w:rPr>
                <w:color w:val="000000"/>
                <w:kern w:val="0"/>
                <w:sz w:val="18"/>
                <w:szCs w:val="18"/>
              </w:rPr>
              <w:t>PRB</w:t>
            </w:r>
            <w:r>
              <w:rPr>
                <w:rFonts w:hint="eastAsia" w:ascii="宋体" w:hAnsi="宋体" w:cs="宋体"/>
                <w:color w:val="000000"/>
                <w:kern w:val="0"/>
                <w:sz w:val="18"/>
                <w:szCs w:val="18"/>
              </w:rPr>
              <w:t>索引。可以选择</w:t>
            </w:r>
            <w:r>
              <w:rPr>
                <w:color w:val="000000"/>
                <w:kern w:val="0"/>
                <w:sz w:val="18"/>
                <w:szCs w:val="18"/>
              </w:rPr>
              <w:t>273</w:t>
            </w:r>
            <w:r>
              <w:rPr>
                <w:rFonts w:hint="eastAsia" w:ascii="宋体" w:hAnsi="宋体" w:cs="宋体"/>
                <w:color w:val="000000"/>
                <w:kern w:val="0"/>
                <w:sz w:val="18"/>
                <w:szCs w:val="18"/>
              </w:rPr>
              <w:t>个</w:t>
            </w:r>
            <w:r>
              <w:rPr>
                <w:color w:val="000000"/>
                <w:kern w:val="0"/>
                <w:sz w:val="18"/>
                <w:szCs w:val="18"/>
              </w:rPr>
              <w:t>PRB</w:t>
            </w:r>
            <w:r>
              <w:rPr>
                <w:rFonts w:hint="eastAsia" w:ascii="宋体" w:hAnsi="宋体" w:cs="宋体"/>
                <w:color w:val="000000"/>
                <w:kern w:val="0"/>
                <w:sz w:val="18"/>
                <w:szCs w:val="18"/>
              </w:rPr>
              <w:t>中的任意多个，例如</w:t>
            </w:r>
            <w:r>
              <w:rPr>
                <w:color w:val="000000"/>
                <w:kern w:val="0"/>
                <w:sz w:val="18"/>
                <w:szCs w:val="18"/>
              </w:rPr>
              <w:t>{0..7,50,273}</w:t>
            </w:r>
            <w:r>
              <w:rPr>
                <w:rFonts w:hint="eastAsia" w:ascii="宋体" w:hAnsi="宋体" w:cs="宋体"/>
                <w:color w:val="000000"/>
                <w:kern w:val="0"/>
                <w:sz w:val="18"/>
                <w:szCs w:val="18"/>
              </w:rPr>
              <w:t>表示选择</w:t>
            </w:r>
            <w:r>
              <w:rPr>
                <w:color w:val="000000"/>
                <w:kern w:val="0"/>
                <w:sz w:val="18"/>
                <w:szCs w:val="18"/>
              </w:rPr>
              <w:t>0</w:t>
            </w:r>
            <w:r>
              <w:rPr>
                <w:rFonts w:hint="eastAsia" w:ascii="宋体" w:hAnsi="宋体" w:cs="宋体"/>
                <w:color w:val="000000"/>
                <w:kern w:val="0"/>
                <w:sz w:val="18"/>
                <w:szCs w:val="18"/>
              </w:rPr>
              <w:t>号到</w:t>
            </w:r>
            <w:r>
              <w:rPr>
                <w:color w:val="000000"/>
                <w:kern w:val="0"/>
                <w:sz w:val="18"/>
                <w:szCs w:val="18"/>
              </w:rPr>
              <w:t>7</w:t>
            </w:r>
            <w:r>
              <w:rPr>
                <w:rFonts w:hint="eastAsia" w:ascii="宋体" w:hAnsi="宋体" w:cs="宋体"/>
                <w:color w:val="000000"/>
                <w:kern w:val="0"/>
                <w:sz w:val="18"/>
                <w:szCs w:val="18"/>
              </w:rPr>
              <w:t>号，</w:t>
            </w:r>
            <w:r>
              <w:rPr>
                <w:color w:val="000000"/>
                <w:kern w:val="0"/>
                <w:sz w:val="18"/>
                <w:szCs w:val="18"/>
              </w:rPr>
              <w:t>50</w:t>
            </w:r>
            <w:r>
              <w:rPr>
                <w:rFonts w:hint="eastAsia" w:ascii="宋体" w:hAnsi="宋体" w:cs="宋体"/>
                <w:color w:val="000000"/>
                <w:kern w:val="0"/>
                <w:sz w:val="18"/>
                <w:szCs w:val="18"/>
              </w:rPr>
              <w:t>号及</w:t>
            </w:r>
            <w:r>
              <w:rPr>
                <w:color w:val="000000"/>
                <w:kern w:val="0"/>
                <w:sz w:val="18"/>
                <w:szCs w:val="18"/>
              </w:rPr>
              <w:t>273</w:t>
            </w:r>
            <w:r>
              <w:rPr>
                <w:rFonts w:hint="eastAsia" w:ascii="宋体" w:hAnsi="宋体" w:cs="宋体"/>
                <w:color w:val="000000"/>
                <w:kern w:val="0"/>
                <w:sz w:val="18"/>
                <w:szCs w:val="18"/>
              </w:rPr>
              <w:t>号共</w:t>
            </w:r>
            <w:r>
              <w:rPr>
                <w:color w:val="000000"/>
                <w:kern w:val="0"/>
                <w:sz w:val="18"/>
                <w:szCs w:val="18"/>
              </w:rPr>
              <w:t>10</w:t>
            </w:r>
            <w:r>
              <w:rPr>
                <w:rFonts w:hint="eastAsia" w:ascii="宋体" w:hAnsi="宋体" w:cs="宋体"/>
                <w:color w:val="000000"/>
                <w:kern w:val="0"/>
                <w:sz w:val="18"/>
                <w:szCs w:val="18"/>
              </w:rPr>
              <w:t>个位置上的</w:t>
            </w:r>
            <w:r>
              <w:rPr>
                <w:color w:val="000000"/>
                <w:kern w:val="0"/>
                <w:sz w:val="18"/>
                <w:szCs w:val="18"/>
              </w:rPr>
              <w:t>PRB</w:t>
            </w:r>
            <w:r>
              <w:rPr>
                <w:rFonts w:hint="eastAsia" w:ascii="宋体" w:hAnsi="宋体" w:cs="宋体"/>
                <w:color w:val="000000"/>
                <w:kern w:val="0"/>
                <w:sz w:val="18"/>
                <w:szCs w:val="18"/>
              </w:rPr>
              <w:t>，其中</w:t>
            </w:r>
            <w:r>
              <w:rPr>
                <w:color w:val="000000"/>
                <w:kern w:val="0"/>
                <w:sz w:val="18"/>
                <w:szCs w:val="18"/>
              </w:rPr>
              <w:t>”..”</w:t>
            </w:r>
            <w:r>
              <w:rPr>
                <w:rFonts w:hint="eastAsia" w:ascii="宋体" w:hAnsi="宋体" w:cs="宋体"/>
                <w:color w:val="000000"/>
                <w:kern w:val="0"/>
                <w:sz w:val="18"/>
                <w:szCs w:val="18"/>
              </w:rPr>
              <w:t>表示连续区间，</w:t>
            </w:r>
            <w:r>
              <w:rPr>
                <w:color w:val="000000"/>
                <w:kern w:val="0"/>
                <w:sz w:val="18"/>
                <w:szCs w:val="18"/>
              </w:rPr>
              <w:t>“,”</w:t>
            </w:r>
            <w:r>
              <w:rPr>
                <w:rFonts w:hint="eastAsia" w:ascii="宋体" w:hAnsi="宋体" w:cs="宋体"/>
                <w:color w:val="000000"/>
                <w:kern w:val="0"/>
                <w:sz w:val="18"/>
                <w:szCs w:val="18"/>
              </w:rPr>
              <w:t>表示分隔</w:t>
            </w:r>
            <w:r>
              <w:rPr>
                <w:color w:val="000000"/>
                <w:kern w:val="0"/>
                <w:sz w:val="18"/>
                <w:szCs w:val="18"/>
              </w:rPr>
              <w:t>;{0,1,2,…273}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Device.FAP.MRMgmt.Config.{i}.SubFrameNum</w:t>
            </w:r>
          </w:p>
        </w:tc>
        <w:tc>
          <w:tcPr>
            <w:tcW w:w="1404"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SubFrameNum</w:t>
            </w:r>
          </w:p>
        </w:tc>
        <w:tc>
          <w:tcPr>
            <w:tcW w:w="1006"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子帧数</w:t>
            </w:r>
          </w:p>
        </w:tc>
        <w:tc>
          <w:tcPr>
            <w:tcW w:w="708"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需要开启接收干扰功率测量的上行子帧。如选择多个，需要用</w:t>
            </w:r>
            <w:r>
              <w:rPr>
                <w:color w:val="000000"/>
                <w:kern w:val="0"/>
                <w:sz w:val="18"/>
                <w:szCs w:val="18"/>
              </w:rPr>
              <w:t>“,”</w:t>
            </w:r>
            <w:r>
              <w:rPr>
                <w:rFonts w:hint="eastAsia" w:ascii="宋体" w:hAnsi="宋体" w:cs="宋体"/>
                <w:color w:val="000000"/>
                <w:kern w:val="0"/>
                <w:sz w:val="18"/>
                <w:szCs w:val="18"/>
              </w:rPr>
              <w:t>进行分隔；</w:t>
            </w:r>
            <w:r>
              <w:rPr>
                <w:color w:val="000000"/>
                <w:kern w:val="0"/>
                <w:sz w:val="18"/>
                <w:szCs w:val="18"/>
              </w:rPr>
              <w:t>{2,3,4,7,8,9}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1423" w:type="dxa"/>
            <w:vMerge w:val="continue"/>
            <w:vAlign w:val="center"/>
          </w:tcPr>
          <w:p>
            <w:pPr>
              <w:widowControl/>
              <w:jc w:val="left"/>
              <w:rPr>
                <w:rFonts w:ascii="宋体" w:hAnsi="宋体" w:cs="宋体"/>
                <w:b/>
                <w:bCs/>
                <w:color w:val="000000"/>
                <w:kern w:val="0"/>
                <w:sz w:val="18"/>
                <w:szCs w:val="18"/>
              </w:rPr>
            </w:pPr>
          </w:p>
        </w:tc>
        <w:tc>
          <w:tcPr>
            <w:tcW w:w="3402" w:type="dxa"/>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Device.FAP.MRMgmt.Config.{i}.MeasureItems</w:t>
            </w:r>
          </w:p>
        </w:tc>
        <w:tc>
          <w:tcPr>
            <w:tcW w:w="1404" w:type="dxa"/>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MeasureItems</w:t>
            </w:r>
          </w:p>
        </w:tc>
        <w:tc>
          <w:tcPr>
            <w:tcW w:w="1006"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测量项</w:t>
            </w:r>
          </w:p>
        </w:tc>
        <w:tc>
          <w:tcPr>
            <w:tcW w:w="708"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MC</w:t>
            </w:r>
          </w:p>
        </w:tc>
        <w:tc>
          <w:tcPr>
            <w:tcW w:w="993"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RW</w:t>
            </w:r>
          </w:p>
        </w:tc>
        <w:tc>
          <w:tcPr>
            <w:tcW w:w="992" w:type="dxa"/>
            <w:shd w:val="clear" w:color="000000"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string</w:t>
            </w:r>
          </w:p>
        </w:tc>
        <w:tc>
          <w:tcPr>
            <w:tcW w:w="4819" w:type="dxa"/>
            <w:shd w:val="clear" w:color="000000"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l代表所有测量项都采集，取值范围"MR.NRScArfcn,MR.NRScPci,MR.NRScSSRSRP,MR.NRScSSRSRQ,MR.NRScSSSINR,MR.NRScTadv,MR.NRScPHR,MR.hAOA,MR.vAOA,MR.NRUEPlrUL,MR.NRUEPlrDL,MR.NRNcArfcn,MR.NRNcPci,MR.NRNcSSRSRP,MR.NRNcSSRSRQ,MR.NRNcSSSINR,MR.LteNcEarfcn,MR.LteNcPci,MR.LteNcRSRP,MR.LteNcRSRQ,MR.PLMN,MR.NRScSSBIndexId,MR.NRNcSSBIndexId"，多个测量项用","隔开</w:t>
            </w:r>
          </w:p>
        </w:tc>
      </w:tr>
    </w:tbl>
    <w:p>
      <w:pPr>
        <w:pStyle w:val="3"/>
        <w:spacing w:line="360" w:lineRule="auto"/>
        <w:ind w:firstLine="0" w:firstLineChars="0"/>
        <w:rPr>
          <w:rFonts w:ascii="宋体" w:hAnsi="宋体" w:cs="宋体"/>
          <w:kern w:val="0"/>
          <w:sz w:val="18"/>
          <w:szCs w:val="18"/>
        </w:rPr>
      </w:pPr>
    </w:p>
    <w:p>
      <w:pPr>
        <w:pStyle w:val="4"/>
        <w:rPr>
          <w:rFonts w:ascii="黑体" w:hAnsi="黑体" w:eastAsia="黑体"/>
          <w:b w:val="0"/>
          <w:bCs w:val="0"/>
          <w:sz w:val="21"/>
          <w:szCs w:val="21"/>
        </w:rPr>
      </w:pPr>
      <w:bookmarkStart w:id="33" w:name="_Toc89684822"/>
      <w:r>
        <w:rPr>
          <w:rFonts w:hint="eastAsia" w:ascii="黑体" w:hAnsi="黑体" w:eastAsia="黑体"/>
          <w:b w:val="0"/>
          <w:bCs w:val="0"/>
          <w:sz w:val="21"/>
          <w:szCs w:val="21"/>
        </w:rPr>
        <w:t>性能参数</w:t>
      </w:r>
      <w:bookmarkEnd w:id="33"/>
    </w:p>
    <w:p>
      <w:pPr>
        <w:jc w:val="center"/>
      </w:pPr>
      <w:r>
        <w:rPr>
          <w:rFonts w:hint="eastAsia"/>
        </w:rPr>
        <w:t>表1</w:t>
      </w:r>
      <w:r>
        <w:t>9</w:t>
      </w:r>
      <w:r>
        <w:rPr>
          <w:rFonts w:hint="eastAsia"/>
        </w:rPr>
        <w:t>：性能参数</w:t>
      </w:r>
    </w:p>
    <w:tbl>
      <w:tblPr>
        <w:tblStyle w:val="22"/>
        <w:tblW w:w="15021" w:type="dxa"/>
        <w:tblInd w:w="0" w:type="dxa"/>
        <w:tblLayout w:type="fixed"/>
        <w:tblCellMar>
          <w:top w:w="0" w:type="dxa"/>
          <w:left w:w="108" w:type="dxa"/>
          <w:bottom w:w="0" w:type="dxa"/>
          <w:right w:w="108" w:type="dxa"/>
        </w:tblCellMar>
      </w:tblPr>
      <w:tblGrid>
        <w:gridCol w:w="846"/>
        <w:gridCol w:w="4819"/>
        <w:gridCol w:w="1560"/>
        <w:gridCol w:w="1417"/>
        <w:gridCol w:w="709"/>
        <w:gridCol w:w="850"/>
        <w:gridCol w:w="1276"/>
        <w:gridCol w:w="3544"/>
      </w:tblGrid>
      <w:tr>
        <w:tblPrEx>
          <w:tblCellMar>
            <w:top w:w="0" w:type="dxa"/>
            <w:left w:w="108" w:type="dxa"/>
            <w:bottom w:w="0" w:type="dxa"/>
            <w:right w:w="108" w:type="dxa"/>
          </w:tblCellMar>
        </w:tblPrEx>
        <w:trPr>
          <w:trHeight w:val="480" w:hRule="atLeast"/>
        </w:trPr>
        <w:tc>
          <w:tcPr>
            <w:tcW w:w="846" w:type="dxa"/>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481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560" w:type="dxa"/>
            <w:tcBorders>
              <w:top w:val="single" w:color="auto" w:sz="4" w:space="0"/>
              <w:left w:val="nil"/>
              <w:bottom w:val="single" w:color="auto" w:sz="4" w:space="0"/>
              <w:right w:val="single" w:color="auto" w:sz="4" w:space="0"/>
            </w:tcBorders>
            <w:shd w:val="clear" w:color="000000" w:fill="D9D9D9"/>
            <w:vAlign w:val="center"/>
          </w:tcPr>
          <w:p>
            <w:pPr>
              <w:widowControl/>
              <w:jc w:val="left"/>
              <w:rPr>
                <w:rFonts w:ascii="宋体" w:hAnsi="宋体" w:cs="宋体"/>
                <w:b/>
                <w:bCs/>
                <w:kern w:val="0"/>
                <w:sz w:val="18"/>
                <w:szCs w:val="18"/>
              </w:rPr>
            </w:pPr>
            <w:r>
              <w:rPr>
                <w:rFonts w:hint="eastAsia" w:ascii="宋体" w:hAnsi="宋体" w:cs="宋体"/>
                <w:b/>
                <w:bCs/>
                <w:kern w:val="0"/>
                <w:sz w:val="18"/>
                <w:szCs w:val="18"/>
              </w:rPr>
              <w:t>英文名称</w:t>
            </w:r>
          </w:p>
        </w:tc>
        <w:tc>
          <w:tcPr>
            <w:tcW w:w="1417"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9"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限定</w:t>
            </w:r>
          </w:p>
        </w:tc>
        <w:tc>
          <w:tcPr>
            <w:tcW w:w="850"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276"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类型</w:t>
            </w:r>
          </w:p>
        </w:tc>
        <w:tc>
          <w:tcPr>
            <w:tcW w:w="3544" w:type="dxa"/>
            <w:tcBorders>
              <w:top w:val="single" w:color="auto" w:sz="4" w:space="0"/>
              <w:left w:val="nil"/>
              <w:bottom w:val="single" w:color="auto" w:sz="4" w:space="0"/>
              <w:right w:val="single" w:color="auto" w:sz="4" w:space="0"/>
            </w:tcBorders>
            <w:shd w:val="clear" w:color="000000" w:fill="D9D9D9"/>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40" w:hRule="atLeast"/>
        </w:trPr>
        <w:tc>
          <w:tcPr>
            <w:tcW w:w="84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性能参数管理</w:t>
            </w: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 xml:space="preserve">Device.FAP.PerfMgmt.Config.{i}.Enable </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Enable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文件周期上传使能开关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(0=false,1=true)</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Device.FAP.PerfMgmt.Config.{i}.Alias</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Alias</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别名</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string(64)</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网管用于识别实例</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 xml:space="preserve">Device.FAP.PerfMgmt.Config.{i}.URL </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URL</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文件管理URL</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 xml:space="preserve">Device.FAP.PerfMgmt.Config.{i}.Username </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Username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文件管理用户名</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 xml:space="preserve">Device.FAP.PerfMgmt.Config.{i}.Password </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Password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文件管理密码</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string(256)</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 xml:space="preserve">Device.FAP.PerfMgmt.Config.{i}.PeriodicUploadInterval </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 xml:space="preserve">PeriodicUploadInterval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文件周期上传时间间隔</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unsignedInt[1:65535]</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(300,600,900,1800,3600)</w:t>
            </w:r>
          </w:p>
        </w:tc>
      </w:tr>
      <w:tr>
        <w:tblPrEx>
          <w:tblCellMar>
            <w:top w:w="0" w:type="dxa"/>
            <w:left w:w="108" w:type="dxa"/>
            <w:bottom w:w="0" w:type="dxa"/>
            <w:right w:w="108" w:type="dxa"/>
          </w:tblCellMar>
        </w:tblPrEx>
        <w:trPr>
          <w:trHeight w:val="240" w:hRule="atLeast"/>
        </w:trPr>
        <w:tc>
          <w:tcPr>
            <w:tcW w:w="84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Device.FAP.PerfMgmt.Config.{i}.PeriodicUploadTime</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PeriodicUploadTime</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文件上传时间</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yyyy-mm-ddThh:mm:ss</w:t>
            </w:r>
          </w:p>
        </w:tc>
      </w:tr>
      <w:tr>
        <w:tblPrEx>
          <w:tblCellMar>
            <w:top w:w="0" w:type="dxa"/>
            <w:left w:w="108" w:type="dxa"/>
            <w:bottom w:w="0" w:type="dxa"/>
            <w:right w:w="108" w:type="dxa"/>
          </w:tblCellMar>
        </w:tblPrEx>
        <w:trPr>
          <w:trHeight w:val="1485" w:hRule="atLeast"/>
        </w:trPr>
        <w:tc>
          <w:tcPr>
            <w:tcW w:w="846"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性能补采参数管理</w:t>
            </w: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Device.FAP.PerfMgmt.Config.{i}.ReplenishEnable</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ReplenishEnable</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补采开关</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boolean</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(0=false,1=true),若该开关置为true，则设备按照补采开始时间和结束时间进行性能文件重新上报操作。</w:t>
            </w:r>
            <w:r>
              <w:rPr>
                <w:rFonts w:hint="eastAsia" w:ascii="宋体" w:hAnsi="宋体" w:cs="宋体"/>
                <w:kern w:val="0"/>
                <w:sz w:val="15"/>
                <w:szCs w:val="15"/>
              </w:rPr>
              <w:br w:type="textWrapping"/>
            </w:r>
            <w:r>
              <w:rPr>
                <w:rFonts w:hint="eastAsia" w:ascii="宋体" w:hAnsi="宋体" w:cs="宋体"/>
                <w:kern w:val="0"/>
                <w:sz w:val="15"/>
                <w:szCs w:val="15"/>
              </w:rPr>
              <w:t>当重新上报完成之后，设备应将该开关置为false</w:t>
            </w:r>
          </w:p>
        </w:tc>
      </w:tr>
      <w:tr>
        <w:tblPrEx>
          <w:tblCellMar>
            <w:top w:w="0" w:type="dxa"/>
            <w:left w:w="108" w:type="dxa"/>
            <w:bottom w:w="0" w:type="dxa"/>
            <w:right w:w="108" w:type="dxa"/>
          </w:tblCellMar>
        </w:tblPrEx>
        <w:trPr>
          <w:trHeight w:val="180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Device.FAP.PerfMgmt.Config.{i}.</w:t>
            </w:r>
            <w:r>
              <w:rPr>
                <w:rFonts w:ascii="宋体" w:hAnsi="宋体" w:cs="宋体"/>
                <w:kern w:val="0"/>
                <w:sz w:val="18"/>
                <w:szCs w:val="18"/>
              </w:rPr>
              <w:t>ReplenishStartTime</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ReplenishStartTime</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补采开始时间</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本参数指定需要重新上传的性能数据文件的开始采集时间。举例说明：若OMC发现2021-05-01 10:15:00至2021-05-01 10:45:00的性能文件缺失，当前处于+8时区，该参数取值为：“2021-05-01T02:15:00Z”</w:t>
            </w:r>
          </w:p>
        </w:tc>
      </w:tr>
      <w:tr>
        <w:tblPrEx>
          <w:tblCellMar>
            <w:top w:w="0" w:type="dxa"/>
            <w:left w:w="108" w:type="dxa"/>
            <w:bottom w:w="0" w:type="dxa"/>
            <w:right w:w="108" w:type="dxa"/>
          </w:tblCellMar>
        </w:tblPrEx>
        <w:trPr>
          <w:trHeight w:val="1830" w:hRule="atLeast"/>
        </w:trPr>
        <w:tc>
          <w:tcPr>
            <w:tcW w:w="846"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b/>
                <w:bCs/>
                <w:kern w:val="0"/>
                <w:sz w:val="18"/>
                <w:szCs w:val="18"/>
              </w:rPr>
            </w:pPr>
          </w:p>
        </w:tc>
        <w:tc>
          <w:tcPr>
            <w:tcW w:w="48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Device.FAP.PerfMgmt.Config.{i}.ReplenishEndTime</w:t>
            </w:r>
          </w:p>
        </w:tc>
        <w:tc>
          <w:tcPr>
            <w:tcW w:w="156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ReplenishEndTime</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补采结束时间</w:t>
            </w:r>
          </w:p>
        </w:tc>
        <w:tc>
          <w:tcPr>
            <w:tcW w:w="709"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M</w:t>
            </w:r>
          </w:p>
        </w:tc>
        <w:tc>
          <w:tcPr>
            <w:tcW w:w="85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RW</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kern w:val="0"/>
                <w:sz w:val="18"/>
                <w:szCs w:val="18"/>
              </w:rPr>
            </w:pPr>
            <w:r>
              <w:rPr>
                <w:rFonts w:hint="eastAsia" w:ascii="宋体" w:hAnsi="宋体" w:cs="宋体"/>
                <w:kern w:val="0"/>
                <w:sz w:val="18"/>
                <w:szCs w:val="18"/>
              </w:rPr>
              <w:t>dateTime</w:t>
            </w:r>
          </w:p>
        </w:tc>
        <w:tc>
          <w:tcPr>
            <w:tcW w:w="354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15"/>
                <w:szCs w:val="15"/>
              </w:rPr>
            </w:pPr>
            <w:r>
              <w:rPr>
                <w:rFonts w:hint="eastAsia" w:ascii="宋体" w:hAnsi="宋体" w:cs="宋体"/>
                <w:kern w:val="0"/>
                <w:sz w:val="15"/>
                <w:szCs w:val="15"/>
              </w:rPr>
              <w:t>本参数指定需要重新上传的性能数据文件的结束采集时间。举例说明：若</w:t>
            </w:r>
            <w:r>
              <w:rPr>
                <w:rFonts w:hint="eastAsia" w:ascii="宋体" w:hAnsi="宋体" w:cs="宋体"/>
                <w:color w:val="000000"/>
                <w:kern w:val="0"/>
                <w:sz w:val="15"/>
                <w:szCs w:val="15"/>
              </w:rPr>
              <w:t>OMC发现</w:t>
            </w:r>
            <w:r>
              <w:rPr>
                <w:color w:val="000000"/>
                <w:kern w:val="0"/>
                <w:sz w:val="15"/>
                <w:szCs w:val="15"/>
              </w:rPr>
              <w:t>2021-05-01 10:15:00</w:t>
            </w:r>
            <w:r>
              <w:rPr>
                <w:rFonts w:hint="eastAsia" w:ascii="宋体" w:hAnsi="宋体" w:cs="宋体"/>
                <w:color w:val="000000"/>
                <w:kern w:val="0"/>
                <w:sz w:val="15"/>
                <w:szCs w:val="15"/>
              </w:rPr>
              <w:t>至2021-05-01 10:45:00的性能文件缺失，当前处于</w:t>
            </w:r>
            <w:r>
              <w:rPr>
                <w:color w:val="000000"/>
                <w:kern w:val="0"/>
                <w:sz w:val="15"/>
                <w:szCs w:val="15"/>
              </w:rPr>
              <w:t>+8</w:t>
            </w:r>
            <w:r>
              <w:rPr>
                <w:rFonts w:hint="eastAsia" w:ascii="宋体" w:hAnsi="宋体" w:cs="宋体"/>
                <w:color w:val="000000"/>
                <w:kern w:val="0"/>
                <w:sz w:val="15"/>
                <w:szCs w:val="15"/>
              </w:rPr>
              <w:t xml:space="preserve">时区，该参数取值为：“2021-05-01T02:45:00Z” </w:t>
            </w:r>
          </w:p>
        </w:tc>
      </w:tr>
    </w:tbl>
    <w:p>
      <w:pPr>
        <w:pStyle w:val="3"/>
        <w:spacing w:line="360" w:lineRule="auto"/>
        <w:ind w:firstLine="0" w:firstLineChars="0"/>
        <w:rPr>
          <w:rFonts w:ascii="黑体" w:hAnsi="黑体" w:eastAsia="黑体"/>
          <w:sz w:val="21"/>
          <w:szCs w:val="21"/>
        </w:rPr>
      </w:pPr>
    </w:p>
    <w:p>
      <w:pPr>
        <w:pStyle w:val="4"/>
        <w:rPr>
          <w:rFonts w:ascii="黑体" w:hAnsi="黑体" w:eastAsia="黑体"/>
          <w:b w:val="0"/>
          <w:bCs w:val="0"/>
          <w:sz w:val="21"/>
          <w:szCs w:val="21"/>
        </w:rPr>
      </w:pPr>
      <w:bookmarkStart w:id="34" w:name="_Toc89684823"/>
      <w:r>
        <w:rPr>
          <w:rFonts w:hint="eastAsia" w:ascii="黑体" w:hAnsi="黑体" w:eastAsia="黑体"/>
          <w:b w:val="0"/>
          <w:bCs w:val="0"/>
          <w:sz w:val="21"/>
          <w:szCs w:val="21"/>
        </w:rPr>
        <w:t>OBJECT参数读写属性</w:t>
      </w:r>
      <w:bookmarkEnd w:id="34"/>
    </w:p>
    <w:p>
      <w:pPr>
        <w:jc w:val="center"/>
      </w:pPr>
      <w:r>
        <w:rPr>
          <w:rFonts w:hint="eastAsia"/>
        </w:rPr>
        <w:t>表2</w:t>
      </w:r>
      <w:r>
        <w:t>0</w:t>
      </w:r>
      <w:r>
        <w:rPr>
          <w:rFonts w:hint="eastAsia"/>
        </w:rPr>
        <w:t>：OBJECT参数读写属性</w:t>
      </w:r>
    </w:p>
    <w:tbl>
      <w:tblPr>
        <w:tblStyle w:val="22"/>
        <w:tblW w:w="14747" w:type="dxa"/>
        <w:tblInd w:w="103" w:type="dxa"/>
        <w:tblLayout w:type="fixed"/>
        <w:tblCellMar>
          <w:top w:w="0" w:type="dxa"/>
          <w:left w:w="108" w:type="dxa"/>
          <w:bottom w:w="0" w:type="dxa"/>
          <w:right w:w="108" w:type="dxa"/>
        </w:tblCellMar>
      </w:tblPr>
      <w:tblGrid>
        <w:gridCol w:w="816"/>
        <w:gridCol w:w="9821"/>
        <w:gridCol w:w="1985"/>
        <w:gridCol w:w="708"/>
        <w:gridCol w:w="1417"/>
      </w:tblGrid>
      <w:tr>
        <w:tblPrEx>
          <w:tblCellMar>
            <w:top w:w="0" w:type="dxa"/>
            <w:left w:w="108" w:type="dxa"/>
            <w:bottom w:w="0" w:type="dxa"/>
            <w:right w:w="108" w:type="dxa"/>
          </w:tblCellMar>
        </w:tblPrEx>
        <w:trPr>
          <w:trHeight w:val="259" w:hRule="atLeast"/>
        </w:trPr>
        <w:tc>
          <w:tcPr>
            <w:tcW w:w="816" w:type="dxa"/>
            <w:tcBorders>
              <w:top w:val="single" w:color="auto" w:sz="4" w:space="0"/>
              <w:left w:val="single" w:color="auto" w:sz="4" w:space="0"/>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归类</w:t>
            </w:r>
          </w:p>
        </w:tc>
        <w:tc>
          <w:tcPr>
            <w:tcW w:w="9821"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参数路径</w:t>
            </w:r>
          </w:p>
        </w:tc>
        <w:tc>
          <w:tcPr>
            <w:tcW w:w="1985"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中文名称</w:t>
            </w:r>
          </w:p>
        </w:tc>
        <w:tc>
          <w:tcPr>
            <w:tcW w:w="708"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网管读写权限</w:t>
            </w:r>
          </w:p>
        </w:tc>
        <w:tc>
          <w:tcPr>
            <w:tcW w:w="1417" w:type="dxa"/>
            <w:tcBorders>
              <w:top w:val="single" w:color="auto" w:sz="4" w:space="0"/>
              <w:left w:val="nil"/>
              <w:bottom w:val="single" w:color="auto" w:sz="4" w:space="0"/>
              <w:right w:val="single" w:color="auto" w:sz="4" w:space="0"/>
            </w:tcBorders>
            <w:shd w:val="clear" w:color="000000" w:fill="D8D8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描述</w:t>
            </w:r>
          </w:p>
        </w:tc>
      </w:tr>
      <w:tr>
        <w:tblPrEx>
          <w:tblCellMar>
            <w:top w:w="0" w:type="dxa"/>
            <w:left w:w="108" w:type="dxa"/>
            <w:bottom w:w="0" w:type="dxa"/>
            <w:right w:w="108" w:type="dxa"/>
          </w:tblCellMar>
        </w:tblPrEx>
        <w:trPr>
          <w:trHeight w:val="259" w:hRule="atLeast"/>
        </w:trPr>
        <w:tc>
          <w:tcPr>
            <w:tcW w:w="81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多实例Object个数读写属性</w:t>
            </w: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Device.DeviceInfo.MU.{i}.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MU实例节点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Device.DeviceInfo.MU.{i}.Slot.{i}.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Slot实例节点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Device.DeviceInfo.MU.{i}.Slot.{i}.EU.{i}.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EU实例节点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Device.DeviceInfo.MU.{i}.Slot.{i}.EU.{i}.RU.{i}.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RU实例节点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Device.FaultMgmt.SupportedAlarm.{i}.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支持告警实例节点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Device.FaultMgmt.CurrentAlarm.{i}.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当前告警实例节点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Device.FaultMgmt.HistoryEvent.{i}.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历史告警实例节点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Device.FaultMgmt.ExpeditedEvent.{i}.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实时告警实例节点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Device.FaultMgmt.QueuedEvent.{i}.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队列告警实例节点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Device.FAP.MRMgmt.Config.{i}.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MR实例节点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Device.FAP.PerfMgmt.Config.{i}.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PM实例节点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FAPService实例节点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Device.Services.FAPService.{i}.FAPControl.NR.</w:t>
            </w:r>
            <w:r>
              <w:rPr>
                <w:rFonts w:hint="eastAsia" w:ascii="宋体" w:hAnsi="宋体" w:cs="宋体"/>
                <w:color w:val="000000"/>
                <w:kern w:val="0"/>
                <w:sz w:val="20"/>
                <w:szCs w:val="20"/>
                <w:lang w:eastAsia="zh-CN"/>
              </w:rPr>
              <w:t>AMFPoolConfigParam</w:t>
            </w:r>
            <w:r>
              <w:rPr>
                <w:rFonts w:hint="eastAsia" w:ascii="宋体" w:hAnsi="宋体" w:cs="宋体"/>
                <w:color w:val="000000"/>
                <w:kern w:val="0"/>
                <w:sz w:val="20"/>
                <w:szCs w:val="20"/>
              </w:rPr>
              <w: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AMFPool实例节点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Device.Services.FAPService.{i}.FAPControl.NR.XnIpAddrMapInfo.{i}.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Xn实例节点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NR小区实例节点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Device.Services.FAPService.{i}.CellConfig.{i}.NR.VoNR.PdcpInitParam.{i}.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VONR头压缩实例节点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Device.Services.FAPService.{i}.CellConfig.{i}.NR.</w:t>
            </w:r>
            <w:r>
              <w:rPr>
                <w:rFonts w:hint="eastAsia" w:ascii="宋体" w:hAnsi="宋体" w:cs="宋体"/>
                <w:kern w:val="0"/>
                <w:sz w:val="20"/>
                <w:szCs w:val="20"/>
                <w:lang w:eastAsia="zh-CN"/>
              </w:rPr>
              <w:t>CN.</w:t>
            </w:r>
            <w:r>
              <w:rPr>
                <w:rFonts w:hint="eastAsia" w:ascii="宋体" w:hAnsi="宋体" w:cs="宋体"/>
                <w:kern w:val="0"/>
                <w:sz w:val="20"/>
                <w:szCs w:val="20"/>
              </w:rPr>
              <w:t>TA.{i}.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TA实例节点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Device.Services.FAPService.{i}.CellConfig.{i}.NR.</w:t>
            </w:r>
            <w:r>
              <w:rPr>
                <w:rFonts w:hint="eastAsia" w:ascii="宋体" w:hAnsi="宋体" w:cs="宋体"/>
                <w:kern w:val="0"/>
                <w:sz w:val="20"/>
                <w:szCs w:val="20"/>
                <w:lang w:eastAsia="zh-CN"/>
              </w:rPr>
              <w:t>CN.</w:t>
            </w:r>
            <w:r>
              <w:rPr>
                <w:rFonts w:hint="eastAsia" w:ascii="宋体" w:hAnsi="宋体" w:cs="宋体"/>
                <w:kern w:val="0"/>
                <w:sz w:val="20"/>
                <w:szCs w:val="20"/>
              </w:rPr>
              <w:t>TA.{i}.PLMNList.{i}.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PLMNID实例节点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Device.Services.FAPService.{i}.CellConfig.{i}.NR.</w:t>
            </w:r>
            <w:r>
              <w:rPr>
                <w:rFonts w:hint="eastAsia" w:ascii="宋体" w:hAnsi="宋体" w:cs="宋体"/>
                <w:kern w:val="0"/>
                <w:sz w:val="20"/>
                <w:szCs w:val="20"/>
                <w:lang w:eastAsia="zh-CN"/>
              </w:rPr>
              <w:t>CN.</w:t>
            </w:r>
            <w:r>
              <w:rPr>
                <w:rFonts w:hint="eastAsia" w:ascii="宋体" w:hAnsi="宋体" w:cs="宋体"/>
                <w:kern w:val="0"/>
                <w:sz w:val="20"/>
                <w:szCs w:val="20"/>
              </w:rPr>
              <w:t>TA.{i}.PLMNList.{i}.SliceList.{i}.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SliceList实例节点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Device.Services.FAPService.{i}.CellConfig.{i}.NR.RAN.PHY.FrequencyInfoDLSIB.MultiFrequencyBandListNRSIB.{i}.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MultiFrequencyBandListNRSIB实例节点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Device.Services.FAPService.{i}.CellConfig.{i}.NR.RAN.PHY.FrequencyInfoDLSIB.ScsSpecificCarrierList.{i}.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ScsSpecificCarrierList实例节点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Device.Services.FAPService.{i}.CellConfig.{i}.NR.RAN.PHY.BWP.BWPDL.{i}.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BWPDL实例节点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Device.Services.FAPService.{i}.CellConfig.{i}.NR.RAN.PHY.BWP.BWPUL.{i}.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BWPUL实例节点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Device.Services.FAPService.{i}.CellConfig.{i}.NR.RAN.PHY.BWP.BWPUL.{i}.PUSCHTimeDomainAllocationList.{i}.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PUSCHTimeDomainAllocationList实例节点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Device.Services.FAPService.{i}.CellConfig.{i}.NR.RAN.PHY.BWP.BWPUL.{i}.PUSCHTimeDomainAllocationList.{i}.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PUSCHTimeDomainAllocationList实例节点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Device.Services.FAPService.{i}.CellConfig.{i}.NR.RAN.PHY.BWP.BWPDL.{i}.PDCCH.CommonSearchSpaceList.{i}.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CommonSearchSpaceList实例节点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Device.Services.FAPService.{i}.CellConfig.{i}.NR.RAN.PHY.BWP.BWPDL.{i}.PDSCH.PDSCHTimeDomainResourceAllocationList.{i}.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PDSCHTimeDomainResourceAllocationList实例节点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Device.Services.FAPService.{i}.CellConfig.{i}.NR.RAN.NeighborList.NRCell.{i}.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5G邻区实例节点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Device.Services.FAPService.{i}.CellConfig.{i}.NR.RAN.NeighborList.LTECell.{i}.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LTE邻区实例节点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Device.Services.FAPService.{i}.CellConfig.{i}.NR.RAN.Mobility.ConnMode.NR.A1MeasureCtrl.{i}.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A1测量实例节点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Device.Services.FAPService.{i}.CellConfig.{i}.NR.RAN.Mobility.ConnMode.NR.A2MeasureCtrl.{i}.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A2测量实例节点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Device.Services.FAPService.{i}.CellConfig.{i}.NR.RAN.Mobility.ConnMode.NR.A3MeasureCtrl.{i}.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A3测量实例节点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Device.Services.FAPService.{i}.CellConfig.{i}.NR.RAN.Mobility.ConnMode.NR.A4MeasureCtrl.{i}.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A4测量实例节点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Device.Services.FAPService.{i}.CellConfig.{i}.NR.RAN.Mobility.ConnMode.NR.A5MeasureCtrl.{i}.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A5测量实例节点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Device.Services.FAPService.{i}.CellConfig.{i}.NR.RAN.Mobility.ConnMode.IRAT.B1MeasureCtrl.{i}.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B1测量实例节点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Device.Services.FAPService.{i}.CellConfig.{i}.NR.RAN.Mobility.ConnMode.IRAT.B2MeasureCtrl.{i}.</w:t>
            </w:r>
          </w:p>
        </w:tc>
        <w:tc>
          <w:tcPr>
            <w:tcW w:w="1985"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B2测量实例节点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Device.Services.FAPService.{i}.CellConfig.{i}.NR.RAN.Mobility.IdleMode.InterFreq.Carrier.{i}.</w:t>
            </w:r>
          </w:p>
        </w:tc>
        <w:tc>
          <w:tcPr>
            <w:tcW w:w="1985"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异频重选实例节点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Device.Services.FAPService.{i}.CellConfig.{i}.NR.RAN.Mobility.ConnMode.NR.PeriodMeasCtrl.{i}.</w:t>
            </w:r>
          </w:p>
        </w:tc>
        <w:tc>
          <w:tcPr>
            <w:tcW w:w="1985"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周期性测量实例节点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Device.Services.FAPService.{i}.CellConfig.{i}.NR.RAN.Mobility.ConnMode.NR.reportCGI.{i}.</w:t>
            </w:r>
          </w:p>
        </w:tc>
        <w:tc>
          <w:tcPr>
            <w:tcW w:w="1985"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报告CGI的测量节点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Device.Ethernet.Interface.{i}.</w:t>
            </w:r>
          </w:p>
        </w:tc>
        <w:tc>
          <w:tcPr>
            <w:tcW w:w="1985"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Ethernet接口实例节点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59" w:hRule="atLeast"/>
        </w:trPr>
        <w:tc>
          <w:tcPr>
            <w:tcW w:w="8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0"/>
                <w:szCs w:val="20"/>
              </w:rPr>
            </w:pPr>
          </w:p>
        </w:tc>
        <w:tc>
          <w:tcPr>
            <w:tcW w:w="98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Device.Ethernet.Interface.{i}.IPv4Address.{i}.</w:t>
            </w:r>
          </w:p>
        </w:tc>
        <w:tc>
          <w:tcPr>
            <w:tcW w:w="1985"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EthernetIP接口实例节点</w:t>
            </w:r>
          </w:p>
        </w:tc>
        <w:tc>
          <w:tcPr>
            <w:tcW w:w="708"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RW</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bl>
    <w:p>
      <w:pPr>
        <w:pStyle w:val="3"/>
        <w:spacing w:line="360" w:lineRule="auto"/>
        <w:ind w:firstLine="0" w:firstLineChars="0"/>
        <w:rPr>
          <w:rFonts w:ascii="黑体" w:hAnsi="黑体" w:eastAsia="黑体"/>
          <w:sz w:val="21"/>
          <w:szCs w:val="21"/>
        </w:rPr>
      </w:pPr>
    </w:p>
    <w:sectPr>
      <w:pgSz w:w="16838" w:h="11906" w:orient="landscape"/>
      <w:pgMar w:top="1797" w:right="1440" w:bottom="1797"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5353994"/>
    </w:sdtPr>
    <w:sdtContent>
      <w:p>
        <w:pPr>
          <w:pStyle w:val="15"/>
        </w:pPr>
        <w:r>
          <w:fldChar w:fldCharType="begin"/>
        </w:r>
        <w:r>
          <w:instrText xml:space="preserve">PAGE   \* MERGEFORMAT</w:instrText>
        </w:r>
        <w:r>
          <w:fldChar w:fldCharType="separate"/>
        </w:r>
        <w:r>
          <w:rPr>
            <w:lang w:val="zh-CN"/>
          </w:rPr>
          <w:t>I</w:t>
        </w:r>
        <w:r>
          <w:rPr>
            <w:lang w:val="zh-CN"/>
          </w:rPr>
          <w:fldChar w:fldCharType="end"/>
        </w:r>
      </w:p>
    </w:sdtContent>
  </w:sdt>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ab/>
    </w:r>
    <w:r>
      <w:fldChar w:fldCharType="begin"/>
    </w:r>
    <w:r>
      <w:instrText xml:space="preserve"> TITLE  \* MERGEFORMAT </w:instrText>
    </w:r>
    <w:r>
      <w:fldChar w:fldCharType="separate"/>
    </w:r>
    <w:r>
      <w:rPr>
        <w:rFonts w:hint="eastAsia"/>
      </w:rPr>
      <w:t>TD-LTE外场测试规范</w:t>
    </w:r>
    <w:r>
      <w:fldChar w:fldCharType="end"/>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中国联通5G社会化基站设备网管南向接口数据模型规范</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中国联通5G社会化基站设备网管南向接口数据模型规范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8E67F1"/>
    <w:multiLevelType w:val="multilevel"/>
    <w:tmpl w:val="228E67F1"/>
    <w:lvl w:ilvl="0" w:tentative="0">
      <w:start w:val="1"/>
      <w:numFmt w:val="bullet"/>
      <w:pStyle w:val="30"/>
      <w:lvlText w:val=""/>
      <w:lvlJc w:val="left"/>
      <w:pPr>
        <w:tabs>
          <w:tab w:val="left" w:pos="822"/>
        </w:tabs>
        <w:ind w:left="822" w:hanging="402"/>
      </w:pPr>
      <w:rPr>
        <w:rFonts w:hint="default" w:ascii="Wingdings" w:hAnsi="Wingdings"/>
        <w:lang w:eastAsia="zh-CN"/>
      </w:rPr>
    </w:lvl>
    <w:lvl w:ilvl="1" w:tentative="0">
      <w:start w:val="1"/>
      <w:numFmt w:val="bullet"/>
      <w:lvlText w:val=""/>
      <w:lvlJc w:val="left"/>
      <w:pPr>
        <w:tabs>
          <w:tab w:val="left" w:pos="1219"/>
        </w:tabs>
        <w:ind w:left="1219" w:hanging="397"/>
      </w:pPr>
      <w:rPr>
        <w:rFonts w:hint="default" w:ascii="Wingdings" w:hAnsi="Wingdings"/>
      </w:rPr>
    </w:lvl>
    <w:lvl w:ilvl="2" w:tentative="0">
      <w:start w:val="1"/>
      <w:numFmt w:val="bullet"/>
      <w:lvlText w:val=""/>
      <w:lvlJc w:val="left"/>
      <w:pPr>
        <w:tabs>
          <w:tab w:val="left" w:pos="1622"/>
        </w:tabs>
        <w:ind w:left="1622" w:hanging="403"/>
      </w:pPr>
      <w:rPr>
        <w:rFonts w:hint="default" w:ascii="Wingdings" w:hAnsi="Wingdings"/>
      </w:rPr>
    </w:lvl>
    <w:lvl w:ilvl="3" w:tentative="0">
      <w:start w:val="1"/>
      <w:numFmt w:val="bullet"/>
      <w:lvlText w:val=""/>
      <w:lvlJc w:val="left"/>
      <w:pPr>
        <w:tabs>
          <w:tab w:val="left" w:pos="2019"/>
        </w:tabs>
        <w:ind w:left="2019" w:hanging="397"/>
      </w:pPr>
      <w:rPr>
        <w:rFonts w:hint="default" w:ascii="Wingdings" w:hAnsi="Wingdings"/>
      </w:rPr>
    </w:lvl>
    <w:lvl w:ilvl="4" w:tentative="0">
      <w:start w:val="1"/>
      <w:numFmt w:val="bullet"/>
      <w:lvlRestart w:val="0"/>
      <w:lvlText w:val=""/>
      <w:lvlJc w:val="left"/>
      <w:pPr>
        <w:tabs>
          <w:tab w:val="left" w:pos="2421"/>
        </w:tabs>
        <w:ind w:left="2421" w:hanging="402"/>
      </w:pPr>
      <w:rPr>
        <w:rFonts w:hint="default" w:ascii="Wingdings" w:hAnsi="Wingdings"/>
      </w:rPr>
    </w:lvl>
    <w:lvl w:ilvl="5" w:tentative="0">
      <w:start w:val="1"/>
      <w:numFmt w:val="decimal"/>
      <w:suff w:val="space"/>
      <w:lvlText w:val="（%6）"/>
      <w:lvlJc w:val="left"/>
      <w:pPr>
        <w:ind w:left="-78" w:firstLine="300"/>
      </w:pPr>
      <w:rPr>
        <w:rFonts w:hint="eastAsia"/>
      </w:rPr>
    </w:lvl>
    <w:lvl w:ilvl="6" w:tentative="0">
      <w:start w:val="1"/>
      <w:numFmt w:val="lowerLetter"/>
      <w:suff w:val="space"/>
      <w:lvlText w:val="%7. "/>
      <w:lvlJc w:val="left"/>
      <w:pPr>
        <w:ind w:left="3714" w:hanging="2312"/>
      </w:pPr>
      <w:rPr>
        <w:rFonts w:hint="default"/>
        <w:b w:val="0"/>
        <w:i w:val="0"/>
        <w:sz w:val="22"/>
        <w:u w:val="none"/>
      </w:rPr>
    </w:lvl>
    <w:lvl w:ilvl="7" w:tentative="0">
      <w:start w:val="1"/>
      <w:numFmt w:val="decimal"/>
      <w:lvlRestart w:val="0"/>
      <w:suff w:val="space"/>
      <w:lvlText w:val="图%8 "/>
      <w:lvlJc w:val="center"/>
      <w:pPr>
        <w:ind w:left="42" w:firstLine="0"/>
      </w:pPr>
      <w:rPr>
        <w:rFonts w:hint="default" w:ascii="Times New Roman" w:hAnsi="Times New Roman" w:eastAsia="黑体"/>
        <w:b w:val="0"/>
        <w:i w:val="0"/>
        <w:sz w:val="22"/>
      </w:rPr>
    </w:lvl>
    <w:lvl w:ilvl="8" w:tentative="0">
      <w:start w:val="1"/>
      <w:numFmt w:val="decimal"/>
      <w:lvlRestart w:val="0"/>
      <w:suff w:val="space"/>
      <w:lvlText w:val="表%9 "/>
      <w:lvlJc w:val="center"/>
      <w:pPr>
        <w:ind w:left="42" w:firstLine="0"/>
      </w:pPr>
      <w:rPr>
        <w:rFonts w:hint="eastAsia"/>
      </w:rPr>
    </w:lvl>
  </w:abstractNum>
  <w:abstractNum w:abstractNumId="1">
    <w:nsid w:val="3AE34DEA"/>
    <w:multiLevelType w:val="multilevel"/>
    <w:tmpl w:val="3AE34DEA"/>
    <w:lvl w:ilvl="0" w:tentative="0">
      <w:start w:val="1"/>
      <w:numFmt w:val="decimal"/>
      <w:pStyle w:val="2"/>
      <w:suff w:val="space"/>
      <w:lvlText w:val="%1  "/>
      <w:lvlJc w:val="left"/>
      <w:pPr>
        <w:ind w:left="0" w:firstLine="0"/>
      </w:pPr>
      <w:rPr>
        <w:rFonts w:hint="default" w:ascii="黑体" w:hAnsi="黑体" w:eastAsia="黑体"/>
        <w:b w:val="0"/>
        <w:i w:val="0"/>
        <w:sz w:val="21"/>
        <w:szCs w:val="21"/>
      </w:rPr>
    </w:lvl>
    <w:lvl w:ilvl="1" w:tentative="0">
      <w:start w:val="1"/>
      <w:numFmt w:val="decimal"/>
      <w:pStyle w:val="4"/>
      <w:suff w:val="space"/>
      <w:lvlText w:val="%1.%2  "/>
      <w:lvlJc w:val="left"/>
      <w:pPr>
        <w:ind w:left="285" w:firstLine="0"/>
      </w:pPr>
      <w:rPr>
        <w:b w:val="0"/>
        <w:bCs w:val="0"/>
        <w:i w:val="0"/>
        <w:iCs w:val="0"/>
        <w:caps w:val="0"/>
        <w:smallCaps w:val="0"/>
        <w:strike w:val="0"/>
        <w:dstrike w:val="0"/>
        <w:vanish w:val="0"/>
        <w:color w:val="000000"/>
        <w:spacing w:val="0"/>
        <w:position w:val="0"/>
        <w:sz w:val="21"/>
        <w:szCs w:val="21"/>
        <w:u w:val="none"/>
        <w:vertAlign w:val="baseline"/>
      </w:rPr>
    </w:lvl>
    <w:lvl w:ilvl="2" w:tentative="0">
      <w:start w:val="1"/>
      <w:numFmt w:val="decimal"/>
      <w:pStyle w:val="5"/>
      <w:suff w:val="space"/>
      <w:lvlText w:val="%1.%2.%3  "/>
      <w:lvlJc w:val="left"/>
      <w:pPr>
        <w:ind w:left="0" w:firstLine="0"/>
      </w:pPr>
      <w:rPr>
        <w:rFonts w:hint="eastAsia"/>
      </w:rPr>
    </w:lvl>
    <w:lvl w:ilvl="3" w:tentative="0">
      <w:start w:val="1"/>
      <w:numFmt w:val="decimal"/>
      <w:pStyle w:val="6"/>
      <w:suff w:val="space"/>
      <w:lvlText w:val="%1.%2.%3.%4  "/>
      <w:lvlJc w:val="left"/>
      <w:pPr>
        <w:ind w:left="0" w:firstLine="0"/>
      </w:pPr>
      <w:rPr>
        <w:rFonts w:hint="eastAsia"/>
      </w:rPr>
    </w:lvl>
    <w:lvl w:ilvl="4" w:tentative="0">
      <w:start w:val="1"/>
      <w:numFmt w:val="decimal"/>
      <w:pStyle w:val="7"/>
      <w:suff w:val="space"/>
      <w:lvlText w:val="%1.%2.%3.%4.%5  "/>
      <w:lvlJc w:val="left"/>
      <w:pPr>
        <w:ind w:left="0" w:firstLine="0"/>
      </w:pPr>
      <w:rPr>
        <w:rFonts w:hint="eastAsia"/>
      </w:rPr>
    </w:lvl>
    <w:lvl w:ilvl="5" w:tentative="0">
      <w:start w:val="1"/>
      <w:numFmt w:val="decimal"/>
      <w:lvlText w:val="（%6）"/>
      <w:lvlJc w:val="left"/>
      <w:pPr>
        <w:tabs>
          <w:tab w:val="left" w:pos="964"/>
        </w:tabs>
        <w:ind w:left="0" w:firstLine="0"/>
      </w:pPr>
      <w:rPr>
        <w:rFonts w:hint="eastAsia"/>
      </w:rPr>
    </w:lvl>
    <w:lvl w:ilvl="6" w:tentative="0">
      <w:start w:val="1"/>
      <w:numFmt w:val="lowerLetter"/>
      <w:lvlText w:val="%7."/>
      <w:lvlJc w:val="left"/>
      <w:pPr>
        <w:tabs>
          <w:tab w:val="left" w:pos="851"/>
        </w:tabs>
        <w:ind w:left="1077" w:hanging="283"/>
      </w:pPr>
      <w:rPr>
        <w:rFonts w:hint="default"/>
        <w:b w:val="0"/>
        <w:i w:val="0"/>
        <w:sz w:val="22"/>
        <w:u w:val="none"/>
      </w:rPr>
    </w:lvl>
    <w:lvl w:ilvl="7" w:tentative="0">
      <w:start w:val="1"/>
      <w:numFmt w:val="none"/>
      <w:lvlRestart w:val="0"/>
      <w:suff w:val="space"/>
      <w:lvlText w:val=""/>
      <w:lvlJc w:val="center"/>
      <w:pPr>
        <w:ind w:left="-624" w:firstLine="0"/>
      </w:pPr>
      <w:rPr>
        <w:rFonts w:hint="default" w:ascii="Times New Roman" w:hAnsi="Times New Roman" w:eastAsia="黑体"/>
        <w:b w:val="0"/>
        <w:i w:val="0"/>
        <w:sz w:val="22"/>
      </w:rPr>
    </w:lvl>
    <w:lvl w:ilvl="8" w:tentative="0">
      <w:start w:val="1"/>
      <w:numFmt w:val="none"/>
      <w:lvlRestart w:val="0"/>
      <w:suff w:val="space"/>
      <w:lvlText w:val=""/>
      <w:lvlJc w:val="center"/>
      <w:pPr>
        <w:ind w:left="-624" w:firstLine="0"/>
      </w:pPr>
      <w:rPr>
        <w:rFonts w:hint="eastAsia"/>
      </w:rPr>
    </w:lvl>
  </w:abstractNum>
  <w:abstractNum w:abstractNumId="2">
    <w:nsid w:val="3CA01682"/>
    <w:multiLevelType w:val="multilevel"/>
    <w:tmpl w:val="3CA01682"/>
    <w:lvl w:ilvl="0" w:tentative="0">
      <w:start w:val="1"/>
      <w:numFmt w:val="decimal"/>
      <w:pStyle w:val="29"/>
      <w:lvlText w:val="(%1)"/>
      <w:lvlJc w:val="left"/>
      <w:pPr>
        <w:tabs>
          <w:tab w:val="left" w:pos="822"/>
        </w:tabs>
        <w:ind w:left="822" w:hanging="402"/>
      </w:pPr>
      <w:rPr>
        <w:rFonts w:hint="eastAsia"/>
      </w:rPr>
    </w:lvl>
    <w:lvl w:ilvl="1" w:tentative="0">
      <w:start w:val="1"/>
      <w:numFmt w:val="lowerLetter"/>
      <w:lvlText w:val="%2."/>
      <w:lvlJc w:val="left"/>
      <w:pPr>
        <w:tabs>
          <w:tab w:val="left" w:pos="1219"/>
        </w:tabs>
        <w:ind w:left="1219" w:hanging="397"/>
      </w:pPr>
      <w:rPr>
        <w:rFonts w:hint="eastAsia"/>
      </w:rPr>
    </w:lvl>
    <w:lvl w:ilvl="2" w:tentative="0">
      <w:start w:val="1"/>
      <w:numFmt w:val="lowerRoman"/>
      <w:lvlText w:val="%3."/>
      <w:lvlJc w:val="left"/>
      <w:pPr>
        <w:tabs>
          <w:tab w:val="left" w:pos="1622"/>
        </w:tabs>
        <w:ind w:left="1622" w:hanging="403"/>
      </w:pPr>
      <w:rPr>
        <w:rFonts w:hint="eastAsia"/>
      </w:rPr>
    </w:lvl>
    <w:lvl w:ilvl="3" w:tentative="0">
      <w:start w:val="1"/>
      <w:numFmt w:val="lowerLetter"/>
      <w:lvlText w:val="%4)"/>
      <w:lvlJc w:val="left"/>
      <w:pPr>
        <w:tabs>
          <w:tab w:val="left" w:pos="2019"/>
        </w:tabs>
        <w:ind w:left="2019" w:hanging="397"/>
      </w:pPr>
      <w:rPr>
        <w:rFonts w:hint="eastAsia"/>
      </w:rPr>
    </w:lvl>
    <w:lvl w:ilvl="4" w:tentative="0">
      <w:start w:val="1"/>
      <w:numFmt w:val="decimal"/>
      <w:lvlText w:val="(%5)"/>
      <w:lvlJc w:val="left"/>
      <w:pPr>
        <w:tabs>
          <w:tab w:val="left" w:pos="3407"/>
        </w:tabs>
        <w:ind w:left="2982" w:firstLine="0"/>
      </w:pPr>
      <w:rPr>
        <w:rFonts w:hint="eastAsia"/>
      </w:rPr>
    </w:lvl>
    <w:lvl w:ilvl="5" w:tentative="0">
      <w:start w:val="1"/>
      <w:numFmt w:val="lowerLetter"/>
      <w:lvlText w:val="(%6)"/>
      <w:lvlJc w:val="left"/>
      <w:pPr>
        <w:tabs>
          <w:tab w:val="left" w:pos="4257"/>
        </w:tabs>
        <w:ind w:left="3832" w:firstLine="0"/>
      </w:pPr>
      <w:rPr>
        <w:rFonts w:hint="eastAsia"/>
      </w:rPr>
    </w:lvl>
    <w:lvl w:ilvl="6" w:tentative="0">
      <w:start w:val="1"/>
      <w:numFmt w:val="lowerRoman"/>
      <w:lvlText w:val="(%7)"/>
      <w:lvlJc w:val="left"/>
      <w:pPr>
        <w:tabs>
          <w:tab w:val="left" w:pos="5108"/>
        </w:tabs>
        <w:ind w:left="4682" w:firstLine="0"/>
      </w:pPr>
      <w:rPr>
        <w:rFonts w:hint="eastAsia"/>
      </w:rPr>
    </w:lvl>
    <w:lvl w:ilvl="7" w:tentative="0">
      <w:start w:val="1"/>
      <w:numFmt w:val="lowerLetter"/>
      <w:lvlText w:val="(%8)"/>
      <w:lvlJc w:val="left"/>
      <w:pPr>
        <w:tabs>
          <w:tab w:val="left" w:pos="5958"/>
        </w:tabs>
        <w:ind w:left="5533" w:firstLine="0"/>
      </w:pPr>
      <w:rPr>
        <w:rFonts w:hint="eastAsia"/>
      </w:rPr>
    </w:lvl>
    <w:lvl w:ilvl="8" w:tentative="0">
      <w:start w:val="1"/>
      <w:numFmt w:val="lowerRoman"/>
      <w:lvlText w:val="(%9)"/>
      <w:lvlJc w:val="left"/>
      <w:pPr>
        <w:tabs>
          <w:tab w:val="left" w:pos="6808"/>
        </w:tabs>
        <w:ind w:left="6383" w:firstLine="0"/>
      </w:pPr>
      <w:rPr>
        <w:rFonts w:hint="eastAsia"/>
      </w:rPr>
    </w:lvl>
  </w:abstractNum>
  <w:abstractNum w:abstractNumId="3">
    <w:nsid w:val="46D104B5"/>
    <w:multiLevelType w:val="multilevel"/>
    <w:tmpl w:val="46D104B5"/>
    <w:lvl w:ilvl="0" w:tentative="0">
      <w:start w:val="1"/>
      <w:numFmt w:val="low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HorizontalSpacing w:val="57"/>
  <w:drawingGridVerticalSpacing w:val="57"/>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dlMDJkMWY0NzMwOTMyNjM3YWM1MjE4YWZjMjliZmIifQ=="/>
  </w:docVars>
  <w:rsids>
    <w:rsidRoot w:val="00E771D9"/>
    <w:rsid w:val="0000049C"/>
    <w:rsid w:val="0000118C"/>
    <w:rsid w:val="00001B13"/>
    <w:rsid w:val="000020EA"/>
    <w:rsid w:val="000038E9"/>
    <w:rsid w:val="0000436F"/>
    <w:rsid w:val="000062B3"/>
    <w:rsid w:val="00006D49"/>
    <w:rsid w:val="00006E52"/>
    <w:rsid w:val="00007755"/>
    <w:rsid w:val="000106DA"/>
    <w:rsid w:val="000115B0"/>
    <w:rsid w:val="000118DD"/>
    <w:rsid w:val="00011EAA"/>
    <w:rsid w:val="00012A63"/>
    <w:rsid w:val="0001314C"/>
    <w:rsid w:val="000134AC"/>
    <w:rsid w:val="00013B15"/>
    <w:rsid w:val="00014E49"/>
    <w:rsid w:val="00015004"/>
    <w:rsid w:val="0001581C"/>
    <w:rsid w:val="00016E0D"/>
    <w:rsid w:val="000174CA"/>
    <w:rsid w:val="00017E9F"/>
    <w:rsid w:val="000205BF"/>
    <w:rsid w:val="00020FA4"/>
    <w:rsid w:val="00021944"/>
    <w:rsid w:val="00021A9C"/>
    <w:rsid w:val="00021F9C"/>
    <w:rsid w:val="0002482D"/>
    <w:rsid w:val="00025336"/>
    <w:rsid w:val="00025770"/>
    <w:rsid w:val="000260CB"/>
    <w:rsid w:val="000263E1"/>
    <w:rsid w:val="000270ED"/>
    <w:rsid w:val="00030076"/>
    <w:rsid w:val="0003162F"/>
    <w:rsid w:val="0003185C"/>
    <w:rsid w:val="00032DCD"/>
    <w:rsid w:val="00033136"/>
    <w:rsid w:val="00033D50"/>
    <w:rsid w:val="00033DF0"/>
    <w:rsid w:val="000341AC"/>
    <w:rsid w:val="00035BA1"/>
    <w:rsid w:val="00036B1B"/>
    <w:rsid w:val="00036E16"/>
    <w:rsid w:val="00036F29"/>
    <w:rsid w:val="00036F86"/>
    <w:rsid w:val="00037747"/>
    <w:rsid w:val="000400EE"/>
    <w:rsid w:val="00041648"/>
    <w:rsid w:val="00043090"/>
    <w:rsid w:val="00043C04"/>
    <w:rsid w:val="00043E68"/>
    <w:rsid w:val="000444D2"/>
    <w:rsid w:val="0004493D"/>
    <w:rsid w:val="00044D94"/>
    <w:rsid w:val="000450E9"/>
    <w:rsid w:val="0004566F"/>
    <w:rsid w:val="00046552"/>
    <w:rsid w:val="00047A88"/>
    <w:rsid w:val="00047F8B"/>
    <w:rsid w:val="00047F8F"/>
    <w:rsid w:val="0005033A"/>
    <w:rsid w:val="00050CB2"/>
    <w:rsid w:val="000516A3"/>
    <w:rsid w:val="00051A28"/>
    <w:rsid w:val="00051A9D"/>
    <w:rsid w:val="00051E0F"/>
    <w:rsid w:val="000523E0"/>
    <w:rsid w:val="0005299B"/>
    <w:rsid w:val="00052F87"/>
    <w:rsid w:val="000538C5"/>
    <w:rsid w:val="00053A7B"/>
    <w:rsid w:val="0005417D"/>
    <w:rsid w:val="000544EE"/>
    <w:rsid w:val="000553F6"/>
    <w:rsid w:val="000569C7"/>
    <w:rsid w:val="00057546"/>
    <w:rsid w:val="00060BF8"/>
    <w:rsid w:val="0006105C"/>
    <w:rsid w:val="0006122F"/>
    <w:rsid w:val="000629D0"/>
    <w:rsid w:val="000632A6"/>
    <w:rsid w:val="000642E1"/>
    <w:rsid w:val="000643DF"/>
    <w:rsid w:val="00064C46"/>
    <w:rsid w:val="000651C5"/>
    <w:rsid w:val="0006585A"/>
    <w:rsid w:val="00066DBC"/>
    <w:rsid w:val="00066F2F"/>
    <w:rsid w:val="00067531"/>
    <w:rsid w:val="00070718"/>
    <w:rsid w:val="00070A62"/>
    <w:rsid w:val="00071BA4"/>
    <w:rsid w:val="0007233A"/>
    <w:rsid w:val="00072E08"/>
    <w:rsid w:val="00073BA3"/>
    <w:rsid w:val="00074A0B"/>
    <w:rsid w:val="00075C62"/>
    <w:rsid w:val="000767E3"/>
    <w:rsid w:val="00080001"/>
    <w:rsid w:val="00081033"/>
    <w:rsid w:val="00081BA5"/>
    <w:rsid w:val="00082190"/>
    <w:rsid w:val="00082E44"/>
    <w:rsid w:val="00083552"/>
    <w:rsid w:val="00083813"/>
    <w:rsid w:val="0008431A"/>
    <w:rsid w:val="000844A5"/>
    <w:rsid w:val="00084ED2"/>
    <w:rsid w:val="0008677F"/>
    <w:rsid w:val="00086784"/>
    <w:rsid w:val="00086E42"/>
    <w:rsid w:val="00086F9C"/>
    <w:rsid w:val="000902C7"/>
    <w:rsid w:val="00090728"/>
    <w:rsid w:val="000923D9"/>
    <w:rsid w:val="000928F2"/>
    <w:rsid w:val="00094662"/>
    <w:rsid w:val="000954A1"/>
    <w:rsid w:val="00095601"/>
    <w:rsid w:val="00097821"/>
    <w:rsid w:val="000A040F"/>
    <w:rsid w:val="000A0DC3"/>
    <w:rsid w:val="000A0E15"/>
    <w:rsid w:val="000A0F57"/>
    <w:rsid w:val="000A142B"/>
    <w:rsid w:val="000A18A3"/>
    <w:rsid w:val="000A219C"/>
    <w:rsid w:val="000A4562"/>
    <w:rsid w:val="000A46B0"/>
    <w:rsid w:val="000A637F"/>
    <w:rsid w:val="000A6D7E"/>
    <w:rsid w:val="000A715B"/>
    <w:rsid w:val="000A776C"/>
    <w:rsid w:val="000A7F05"/>
    <w:rsid w:val="000B0230"/>
    <w:rsid w:val="000B08B7"/>
    <w:rsid w:val="000B145E"/>
    <w:rsid w:val="000B1ECA"/>
    <w:rsid w:val="000B3D5E"/>
    <w:rsid w:val="000B4E23"/>
    <w:rsid w:val="000B55EA"/>
    <w:rsid w:val="000B6A97"/>
    <w:rsid w:val="000B7CBA"/>
    <w:rsid w:val="000C2069"/>
    <w:rsid w:val="000C270C"/>
    <w:rsid w:val="000C3003"/>
    <w:rsid w:val="000C3255"/>
    <w:rsid w:val="000C3DAC"/>
    <w:rsid w:val="000C3F62"/>
    <w:rsid w:val="000C42A2"/>
    <w:rsid w:val="000C43C1"/>
    <w:rsid w:val="000C445F"/>
    <w:rsid w:val="000C4499"/>
    <w:rsid w:val="000C44BF"/>
    <w:rsid w:val="000C6E0A"/>
    <w:rsid w:val="000C70C4"/>
    <w:rsid w:val="000C7BDC"/>
    <w:rsid w:val="000D2364"/>
    <w:rsid w:val="000D2462"/>
    <w:rsid w:val="000D2820"/>
    <w:rsid w:val="000D2C19"/>
    <w:rsid w:val="000D3302"/>
    <w:rsid w:val="000D37CF"/>
    <w:rsid w:val="000D3E1B"/>
    <w:rsid w:val="000D4A23"/>
    <w:rsid w:val="000D577F"/>
    <w:rsid w:val="000D7FF1"/>
    <w:rsid w:val="000E095A"/>
    <w:rsid w:val="000E1A59"/>
    <w:rsid w:val="000E1D7D"/>
    <w:rsid w:val="000E2CA6"/>
    <w:rsid w:val="000E3A9F"/>
    <w:rsid w:val="000E4296"/>
    <w:rsid w:val="000E48C7"/>
    <w:rsid w:val="000E4D4E"/>
    <w:rsid w:val="000E54BA"/>
    <w:rsid w:val="000E72DC"/>
    <w:rsid w:val="000F06BD"/>
    <w:rsid w:val="000F0C04"/>
    <w:rsid w:val="000F1EBD"/>
    <w:rsid w:val="000F3255"/>
    <w:rsid w:val="000F33CE"/>
    <w:rsid w:val="000F3ADE"/>
    <w:rsid w:val="000F4071"/>
    <w:rsid w:val="000F6609"/>
    <w:rsid w:val="00100864"/>
    <w:rsid w:val="00100E8B"/>
    <w:rsid w:val="00101521"/>
    <w:rsid w:val="00101BE2"/>
    <w:rsid w:val="00101C01"/>
    <w:rsid w:val="00101FFF"/>
    <w:rsid w:val="00102003"/>
    <w:rsid w:val="00102A89"/>
    <w:rsid w:val="00103647"/>
    <w:rsid w:val="0010644C"/>
    <w:rsid w:val="0011020A"/>
    <w:rsid w:val="001109B4"/>
    <w:rsid w:val="00112E43"/>
    <w:rsid w:val="0011347F"/>
    <w:rsid w:val="001134C1"/>
    <w:rsid w:val="001139B6"/>
    <w:rsid w:val="0011512D"/>
    <w:rsid w:val="00115896"/>
    <w:rsid w:val="00116A7D"/>
    <w:rsid w:val="001172FE"/>
    <w:rsid w:val="00117E4D"/>
    <w:rsid w:val="0012199F"/>
    <w:rsid w:val="00123591"/>
    <w:rsid w:val="001235A1"/>
    <w:rsid w:val="0012487A"/>
    <w:rsid w:val="00125F0F"/>
    <w:rsid w:val="00127E83"/>
    <w:rsid w:val="001301F7"/>
    <w:rsid w:val="001310A8"/>
    <w:rsid w:val="00132521"/>
    <w:rsid w:val="001329E2"/>
    <w:rsid w:val="00132F1C"/>
    <w:rsid w:val="00133533"/>
    <w:rsid w:val="00135441"/>
    <w:rsid w:val="00135CDA"/>
    <w:rsid w:val="001361A3"/>
    <w:rsid w:val="0013696B"/>
    <w:rsid w:val="00137571"/>
    <w:rsid w:val="0014041B"/>
    <w:rsid w:val="00140530"/>
    <w:rsid w:val="001411CB"/>
    <w:rsid w:val="00142303"/>
    <w:rsid w:val="0014516F"/>
    <w:rsid w:val="001454BD"/>
    <w:rsid w:val="00145E03"/>
    <w:rsid w:val="00146A1D"/>
    <w:rsid w:val="001508D9"/>
    <w:rsid w:val="00151573"/>
    <w:rsid w:val="001517C4"/>
    <w:rsid w:val="00151912"/>
    <w:rsid w:val="00153655"/>
    <w:rsid w:val="00154957"/>
    <w:rsid w:val="00154C12"/>
    <w:rsid w:val="0015536E"/>
    <w:rsid w:val="001559CA"/>
    <w:rsid w:val="00155BF3"/>
    <w:rsid w:val="00156060"/>
    <w:rsid w:val="00156260"/>
    <w:rsid w:val="00157003"/>
    <w:rsid w:val="0016127C"/>
    <w:rsid w:val="001619B7"/>
    <w:rsid w:val="001622EE"/>
    <w:rsid w:val="001627BF"/>
    <w:rsid w:val="00164880"/>
    <w:rsid w:val="00164B0E"/>
    <w:rsid w:val="00165029"/>
    <w:rsid w:val="00165879"/>
    <w:rsid w:val="0016684A"/>
    <w:rsid w:val="001669D8"/>
    <w:rsid w:val="001673D7"/>
    <w:rsid w:val="0016777D"/>
    <w:rsid w:val="001706EA"/>
    <w:rsid w:val="00170879"/>
    <w:rsid w:val="00170A25"/>
    <w:rsid w:val="001725E0"/>
    <w:rsid w:val="00172C2E"/>
    <w:rsid w:val="00174ADB"/>
    <w:rsid w:val="00176B55"/>
    <w:rsid w:val="00176CB5"/>
    <w:rsid w:val="00176D32"/>
    <w:rsid w:val="00177DA9"/>
    <w:rsid w:val="00180B42"/>
    <w:rsid w:val="00180F89"/>
    <w:rsid w:val="00181394"/>
    <w:rsid w:val="00181964"/>
    <w:rsid w:val="00181F4A"/>
    <w:rsid w:val="00182C83"/>
    <w:rsid w:val="00182E10"/>
    <w:rsid w:val="0018376C"/>
    <w:rsid w:val="00184896"/>
    <w:rsid w:val="00184BA4"/>
    <w:rsid w:val="00185184"/>
    <w:rsid w:val="00185243"/>
    <w:rsid w:val="00185692"/>
    <w:rsid w:val="001858EA"/>
    <w:rsid w:val="00185AB1"/>
    <w:rsid w:val="001863DB"/>
    <w:rsid w:val="0018684F"/>
    <w:rsid w:val="00187011"/>
    <w:rsid w:val="00187165"/>
    <w:rsid w:val="0018751C"/>
    <w:rsid w:val="00190BDE"/>
    <w:rsid w:val="00190C8D"/>
    <w:rsid w:val="001915B4"/>
    <w:rsid w:val="00194435"/>
    <w:rsid w:val="001949B7"/>
    <w:rsid w:val="00195928"/>
    <w:rsid w:val="00195A63"/>
    <w:rsid w:val="00195B71"/>
    <w:rsid w:val="001966CE"/>
    <w:rsid w:val="0019705A"/>
    <w:rsid w:val="001A010E"/>
    <w:rsid w:val="001A1187"/>
    <w:rsid w:val="001A1BD3"/>
    <w:rsid w:val="001A1ED7"/>
    <w:rsid w:val="001A2334"/>
    <w:rsid w:val="001A410D"/>
    <w:rsid w:val="001A4F54"/>
    <w:rsid w:val="001A61E0"/>
    <w:rsid w:val="001A6CA0"/>
    <w:rsid w:val="001A6CE0"/>
    <w:rsid w:val="001A6F4A"/>
    <w:rsid w:val="001A7FD7"/>
    <w:rsid w:val="001B0A77"/>
    <w:rsid w:val="001B1D88"/>
    <w:rsid w:val="001B2CD8"/>
    <w:rsid w:val="001B3614"/>
    <w:rsid w:val="001B4099"/>
    <w:rsid w:val="001B42C3"/>
    <w:rsid w:val="001B4A51"/>
    <w:rsid w:val="001B4D02"/>
    <w:rsid w:val="001B5377"/>
    <w:rsid w:val="001B5451"/>
    <w:rsid w:val="001B5781"/>
    <w:rsid w:val="001B6366"/>
    <w:rsid w:val="001B763F"/>
    <w:rsid w:val="001B7AD4"/>
    <w:rsid w:val="001B7C7A"/>
    <w:rsid w:val="001C0BB5"/>
    <w:rsid w:val="001C27D7"/>
    <w:rsid w:val="001C48C1"/>
    <w:rsid w:val="001C6681"/>
    <w:rsid w:val="001C7E59"/>
    <w:rsid w:val="001D1422"/>
    <w:rsid w:val="001D285C"/>
    <w:rsid w:val="001D3491"/>
    <w:rsid w:val="001D4071"/>
    <w:rsid w:val="001D4588"/>
    <w:rsid w:val="001D4B73"/>
    <w:rsid w:val="001D50C8"/>
    <w:rsid w:val="001D54AC"/>
    <w:rsid w:val="001D59E2"/>
    <w:rsid w:val="001D60FB"/>
    <w:rsid w:val="001D6516"/>
    <w:rsid w:val="001E0BC2"/>
    <w:rsid w:val="001E1271"/>
    <w:rsid w:val="001E1C07"/>
    <w:rsid w:val="001E1D71"/>
    <w:rsid w:val="001E7540"/>
    <w:rsid w:val="001F001A"/>
    <w:rsid w:val="001F2001"/>
    <w:rsid w:val="001F3F33"/>
    <w:rsid w:val="001F56CD"/>
    <w:rsid w:val="001F6593"/>
    <w:rsid w:val="001F717E"/>
    <w:rsid w:val="001F7251"/>
    <w:rsid w:val="001F7C55"/>
    <w:rsid w:val="001F7E04"/>
    <w:rsid w:val="0020464D"/>
    <w:rsid w:val="00204E6F"/>
    <w:rsid w:val="00205469"/>
    <w:rsid w:val="0020633D"/>
    <w:rsid w:val="002064AC"/>
    <w:rsid w:val="00206AC8"/>
    <w:rsid w:val="00207BC5"/>
    <w:rsid w:val="00207C61"/>
    <w:rsid w:val="002100CE"/>
    <w:rsid w:val="00211981"/>
    <w:rsid w:val="0021221D"/>
    <w:rsid w:val="00212917"/>
    <w:rsid w:val="00213892"/>
    <w:rsid w:val="002149CB"/>
    <w:rsid w:val="00214B6B"/>
    <w:rsid w:val="002167C1"/>
    <w:rsid w:val="00217DE7"/>
    <w:rsid w:val="00220784"/>
    <w:rsid w:val="00221A50"/>
    <w:rsid w:val="00221BC4"/>
    <w:rsid w:val="00223DCD"/>
    <w:rsid w:val="00223FB6"/>
    <w:rsid w:val="002249F0"/>
    <w:rsid w:val="00226057"/>
    <w:rsid w:val="00226203"/>
    <w:rsid w:val="002302B4"/>
    <w:rsid w:val="00230686"/>
    <w:rsid w:val="00231014"/>
    <w:rsid w:val="002318E4"/>
    <w:rsid w:val="00231930"/>
    <w:rsid w:val="002326C7"/>
    <w:rsid w:val="00232864"/>
    <w:rsid w:val="00232FC9"/>
    <w:rsid w:val="002344C6"/>
    <w:rsid w:val="002346C6"/>
    <w:rsid w:val="00234F3D"/>
    <w:rsid w:val="0023557C"/>
    <w:rsid w:val="002355EF"/>
    <w:rsid w:val="00237A3A"/>
    <w:rsid w:val="00237B04"/>
    <w:rsid w:val="00240CDF"/>
    <w:rsid w:val="00242297"/>
    <w:rsid w:val="00243C27"/>
    <w:rsid w:val="0024597D"/>
    <w:rsid w:val="00246266"/>
    <w:rsid w:val="002464CE"/>
    <w:rsid w:val="0024783B"/>
    <w:rsid w:val="00247DB0"/>
    <w:rsid w:val="00250760"/>
    <w:rsid w:val="002510D5"/>
    <w:rsid w:val="002514A1"/>
    <w:rsid w:val="0025179D"/>
    <w:rsid w:val="002527E3"/>
    <w:rsid w:val="00254802"/>
    <w:rsid w:val="00254811"/>
    <w:rsid w:val="00255058"/>
    <w:rsid w:val="00255120"/>
    <w:rsid w:val="00256214"/>
    <w:rsid w:val="0025713D"/>
    <w:rsid w:val="00257C3C"/>
    <w:rsid w:val="00260717"/>
    <w:rsid w:val="00260CAA"/>
    <w:rsid w:val="00262AE7"/>
    <w:rsid w:val="00262B78"/>
    <w:rsid w:val="00263443"/>
    <w:rsid w:val="00263681"/>
    <w:rsid w:val="00263BED"/>
    <w:rsid w:val="002640A2"/>
    <w:rsid w:val="002644C4"/>
    <w:rsid w:val="00264A70"/>
    <w:rsid w:val="00265EB2"/>
    <w:rsid w:val="00266819"/>
    <w:rsid w:val="00267607"/>
    <w:rsid w:val="00267A2E"/>
    <w:rsid w:val="002709B9"/>
    <w:rsid w:val="0027148F"/>
    <w:rsid w:val="00271F73"/>
    <w:rsid w:val="0027268A"/>
    <w:rsid w:val="0027281C"/>
    <w:rsid w:val="0027326B"/>
    <w:rsid w:val="00273A62"/>
    <w:rsid w:val="00274643"/>
    <w:rsid w:val="00274B35"/>
    <w:rsid w:val="00275F27"/>
    <w:rsid w:val="00275F79"/>
    <w:rsid w:val="0027635B"/>
    <w:rsid w:val="00276A25"/>
    <w:rsid w:val="002777E0"/>
    <w:rsid w:val="002779AB"/>
    <w:rsid w:val="0028020A"/>
    <w:rsid w:val="00280510"/>
    <w:rsid w:val="002805F1"/>
    <w:rsid w:val="00280D17"/>
    <w:rsid w:val="00281228"/>
    <w:rsid w:val="0028269B"/>
    <w:rsid w:val="00282AAC"/>
    <w:rsid w:val="00284ED2"/>
    <w:rsid w:val="0028604A"/>
    <w:rsid w:val="00286638"/>
    <w:rsid w:val="002866C0"/>
    <w:rsid w:val="00286883"/>
    <w:rsid w:val="00291687"/>
    <w:rsid w:val="00291C5D"/>
    <w:rsid w:val="00292365"/>
    <w:rsid w:val="00293D5A"/>
    <w:rsid w:val="00294DD6"/>
    <w:rsid w:val="00295594"/>
    <w:rsid w:val="002958B2"/>
    <w:rsid w:val="00295B05"/>
    <w:rsid w:val="00295C22"/>
    <w:rsid w:val="002964CF"/>
    <w:rsid w:val="00297FED"/>
    <w:rsid w:val="002A01FF"/>
    <w:rsid w:val="002A0B1E"/>
    <w:rsid w:val="002A167B"/>
    <w:rsid w:val="002A19DC"/>
    <w:rsid w:val="002A2954"/>
    <w:rsid w:val="002A2C46"/>
    <w:rsid w:val="002A4063"/>
    <w:rsid w:val="002A42E5"/>
    <w:rsid w:val="002A437A"/>
    <w:rsid w:val="002A4886"/>
    <w:rsid w:val="002A4C66"/>
    <w:rsid w:val="002A4D5D"/>
    <w:rsid w:val="002A5142"/>
    <w:rsid w:val="002A5248"/>
    <w:rsid w:val="002A53FC"/>
    <w:rsid w:val="002A61F1"/>
    <w:rsid w:val="002A6616"/>
    <w:rsid w:val="002A7F1C"/>
    <w:rsid w:val="002B07D2"/>
    <w:rsid w:val="002B3063"/>
    <w:rsid w:val="002B30CD"/>
    <w:rsid w:val="002B33D8"/>
    <w:rsid w:val="002B4977"/>
    <w:rsid w:val="002B4DF1"/>
    <w:rsid w:val="002B5205"/>
    <w:rsid w:val="002B590E"/>
    <w:rsid w:val="002B5D2E"/>
    <w:rsid w:val="002B7872"/>
    <w:rsid w:val="002C02E4"/>
    <w:rsid w:val="002C1397"/>
    <w:rsid w:val="002C205E"/>
    <w:rsid w:val="002C2B4F"/>
    <w:rsid w:val="002C35DA"/>
    <w:rsid w:val="002C42F3"/>
    <w:rsid w:val="002C556D"/>
    <w:rsid w:val="002C6603"/>
    <w:rsid w:val="002C7604"/>
    <w:rsid w:val="002C7931"/>
    <w:rsid w:val="002C7951"/>
    <w:rsid w:val="002C7CC8"/>
    <w:rsid w:val="002D07F8"/>
    <w:rsid w:val="002D0B9C"/>
    <w:rsid w:val="002D212F"/>
    <w:rsid w:val="002D2336"/>
    <w:rsid w:val="002D2D63"/>
    <w:rsid w:val="002D4D4F"/>
    <w:rsid w:val="002D4EA6"/>
    <w:rsid w:val="002D5A78"/>
    <w:rsid w:val="002D5F95"/>
    <w:rsid w:val="002D6512"/>
    <w:rsid w:val="002D7FB8"/>
    <w:rsid w:val="002E05A3"/>
    <w:rsid w:val="002E15B7"/>
    <w:rsid w:val="002E209B"/>
    <w:rsid w:val="002E3ED3"/>
    <w:rsid w:val="002E4323"/>
    <w:rsid w:val="002E50B5"/>
    <w:rsid w:val="002E68FB"/>
    <w:rsid w:val="002E7499"/>
    <w:rsid w:val="002F1B19"/>
    <w:rsid w:val="002F1F24"/>
    <w:rsid w:val="002F2797"/>
    <w:rsid w:val="002F2D84"/>
    <w:rsid w:val="002F304D"/>
    <w:rsid w:val="002F37E1"/>
    <w:rsid w:val="00300EC1"/>
    <w:rsid w:val="0030107D"/>
    <w:rsid w:val="003010E7"/>
    <w:rsid w:val="003014BA"/>
    <w:rsid w:val="00302165"/>
    <w:rsid w:val="00302C59"/>
    <w:rsid w:val="00304406"/>
    <w:rsid w:val="0030456F"/>
    <w:rsid w:val="00304E2F"/>
    <w:rsid w:val="00305705"/>
    <w:rsid w:val="00305D5B"/>
    <w:rsid w:val="0030636C"/>
    <w:rsid w:val="003066EA"/>
    <w:rsid w:val="00307D8F"/>
    <w:rsid w:val="003110DE"/>
    <w:rsid w:val="0031126D"/>
    <w:rsid w:val="00311635"/>
    <w:rsid w:val="0031297E"/>
    <w:rsid w:val="00316263"/>
    <w:rsid w:val="0031629F"/>
    <w:rsid w:val="00316386"/>
    <w:rsid w:val="00317765"/>
    <w:rsid w:val="00317D15"/>
    <w:rsid w:val="00317E4B"/>
    <w:rsid w:val="003207DA"/>
    <w:rsid w:val="00320F12"/>
    <w:rsid w:val="003211C2"/>
    <w:rsid w:val="00322C87"/>
    <w:rsid w:val="003239AA"/>
    <w:rsid w:val="003240E7"/>
    <w:rsid w:val="00324951"/>
    <w:rsid w:val="0032568E"/>
    <w:rsid w:val="00325CAB"/>
    <w:rsid w:val="00325CBD"/>
    <w:rsid w:val="00325FD8"/>
    <w:rsid w:val="00326924"/>
    <w:rsid w:val="003276A4"/>
    <w:rsid w:val="00327C6C"/>
    <w:rsid w:val="00330C0F"/>
    <w:rsid w:val="00331877"/>
    <w:rsid w:val="003318F9"/>
    <w:rsid w:val="00331EE0"/>
    <w:rsid w:val="003354E3"/>
    <w:rsid w:val="003356BF"/>
    <w:rsid w:val="00337694"/>
    <w:rsid w:val="003378BB"/>
    <w:rsid w:val="00337932"/>
    <w:rsid w:val="00341DF7"/>
    <w:rsid w:val="003432F6"/>
    <w:rsid w:val="00343A92"/>
    <w:rsid w:val="00343DE1"/>
    <w:rsid w:val="00345AE3"/>
    <w:rsid w:val="00346CB9"/>
    <w:rsid w:val="00352987"/>
    <w:rsid w:val="00352BEC"/>
    <w:rsid w:val="003531E5"/>
    <w:rsid w:val="0035381F"/>
    <w:rsid w:val="00353C0B"/>
    <w:rsid w:val="00354BCB"/>
    <w:rsid w:val="003554A4"/>
    <w:rsid w:val="00355F3E"/>
    <w:rsid w:val="00355FA0"/>
    <w:rsid w:val="00356727"/>
    <w:rsid w:val="00356885"/>
    <w:rsid w:val="003579C2"/>
    <w:rsid w:val="00360792"/>
    <w:rsid w:val="00361834"/>
    <w:rsid w:val="00362097"/>
    <w:rsid w:val="0036216A"/>
    <w:rsid w:val="00362350"/>
    <w:rsid w:val="00362F48"/>
    <w:rsid w:val="003634A3"/>
    <w:rsid w:val="00365537"/>
    <w:rsid w:val="00365698"/>
    <w:rsid w:val="00365F0C"/>
    <w:rsid w:val="00367DB4"/>
    <w:rsid w:val="00367DD3"/>
    <w:rsid w:val="003728C7"/>
    <w:rsid w:val="00372BD1"/>
    <w:rsid w:val="003731F4"/>
    <w:rsid w:val="00374258"/>
    <w:rsid w:val="00374AE0"/>
    <w:rsid w:val="00375720"/>
    <w:rsid w:val="00375C09"/>
    <w:rsid w:val="00376DD1"/>
    <w:rsid w:val="0037766A"/>
    <w:rsid w:val="003802F8"/>
    <w:rsid w:val="00380702"/>
    <w:rsid w:val="003816A0"/>
    <w:rsid w:val="00381BEC"/>
    <w:rsid w:val="003823D2"/>
    <w:rsid w:val="0038264E"/>
    <w:rsid w:val="0038280A"/>
    <w:rsid w:val="00383180"/>
    <w:rsid w:val="003834CD"/>
    <w:rsid w:val="00383D9F"/>
    <w:rsid w:val="0038467E"/>
    <w:rsid w:val="00384AC0"/>
    <w:rsid w:val="00384C05"/>
    <w:rsid w:val="00385D0B"/>
    <w:rsid w:val="00386622"/>
    <w:rsid w:val="00386B58"/>
    <w:rsid w:val="00390ACA"/>
    <w:rsid w:val="00391CB6"/>
    <w:rsid w:val="00391F99"/>
    <w:rsid w:val="00392443"/>
    <w:rsid w:val="0039257D"/>
    <w:rsid w:val="0039274B"/>
    <w:rsid w:val="003936F0"/>
    <w:rsid w:val="00393FED"/>
    <w:rsid w:val="00393FF3"/>
    <w:rsid w:val="003951FE"/>
    <w:rsid w:val="00395993"/>
    <w:rsid w:val="00397A96"/>
    <w:rsid w:val="003A00A5"/>
    <w:rsid w:val="003A0A51"/>
    <w:rsid w:val="003A0FDE"/>
    <w:rsid w:val="003A23A0"/>
    <w:rsid w:val="003A3BBE"/>
    <w:rsid w:val="003A5436"/>
    <w:rsid w:val="003A6492"/>
    <w:rsid w:val="003A77B5"/>
    <w:rsid w:val="003A79C3"/>
    <w:rsid w:val="003B0BC3"/>
    <w:rsid w:val="003B3511"/>
    <w:rsid w:val="003B3A3F"/>
    <w:rsid w:val="003B3E5B"/>
    <w:rsid w:val="003B4133"/>
    <w:rsid w:val="003B54A4"/>
    <w:rsid w:val="003B55F2"/>
    <w:rsid w:val="003B5E8C"/>
    <w:rsid w:val="003B65A9"/>
    <w:rsid w:val="003B65B1"/>
    <w:rsid w:val="003B7250"/>
    <w:rsid w:val="003B7F26"/>
    <w:rsid w:val="003C0733"/>
    <w:rsid w:val="003C0D53"/>
    <w:rsid w:val="003C12DA"/>
    <w:rsid w:val="003C1626"/>
    <w:rsid w:val="003C1A6C"/>
    <w:rsid w:val="003C1AE7"/>
    <w:rsid w:val="003C2B25"/>
    <w:rsid w:val="003C2FA1"/>
    <w:rsid w:val="003C407E"/>
    <w:rsid w:val="003C439B"/>
    <w:rsid w:val="003C5FDC"/>
    <w:rsid w:val="003C709B"/>
    <w:rsid w:val="003C7183"/>
    <w:rsid w:val="003C74C6"/>
    <w:rsid w:val="003C75F7"/>
    <w:rsid w:val="003D095E"/>
    <w:rsid w:val="003D0DAE"/>
    <w:rsid w:val="003D0E4A"/>
    <w:rsid w:val="003D413E"/>
    <w:rsid w:val="003D47E5"/>
    <w:rsid w:val="003D65B4"/>
    <w:rsid w:val="003D70D8"/>
    <w:rsid w:val="003D7465"/>
    <w:rsid w:val="003D7488"/>
    <w:rsid w:val="003D7B79"/>
    <w:rsid w:val="003E188C"/>
    <w:rsid w:val="003E1A96"/>
    <w:rsid w:val="003E1BCB"/>
    <w:rsid w:val="003E237A"/>
    <w:rsid w:val="003E2472"/>
    <w:rsid w:val="003E2F1C"/>
    <w:rsid w:val="003E3531"/>
    <w:rsid w:val="003E3C86"/>
    <w:rsid w:val="003E40B1"/>
    <w:rsid w:val="003E4465"/>
    <w:rsid w:val="003E4A4D"/>
    <w:rsid w:val="003E51F7"/>
    <w:rsid w:val="003E7D56"/>
    <w:rsid w:val="003E7D68"/>
    <w:rsid w:val="003F1395"/>
    <w:rsid w:val="003F23A1"/>
    <w:rsid w:val="003F2A25"/>
    <w:rsid w:val="003F2AC0"/>
    <w:rsid w:val="003F2C8C"/>
    <w:rsid w:val="003F2D3B"/>
    <w:rsid w:val="003F2E97"/>
    <w:rsid w:val="003F4BD7"/>
    <w:rsid w:val="003F50D3"/>
    <w:rsid w:val="003F5D5E"/>
    <w:rsid w:val="003F5DC8"/>
    <w:rsid w:val="003F62E2"/>
    <w:rsid w:val="003F745E"/>
    <w:rsid w:val="00400202"/>
    <w:rsid w:val="00400767"/>
    <w:rsid w:val="00402FDA"/>
    <w:rsid w:val="004041EC"/>
    <w:rsid w:val="004059E8"/>
    <w:rsid w:val="00405BF6"/>
    <w:rsid w:val="00405FBA"/>
    <w:rsid w:val="0040699C"/>
    <w:rsid w:val="00410DEC"/>
    <w:rsid w:val="004117D9"/>
    <w:rsid w:val="00411B25"/>
    <w:rsid w:val="004122EF"/>
    <w:rsid w:val="00412452"/>
    <w:rsid w:val="00412E8B"/>
    <w:rsid w:val="00415083"/>
    <w:rsid w:val="0041709E"/>
    <w:rsid w:val="00420095"/>
    <w:rsid w:val="0042073B"/>
    <w:rsid w:val="00420B2D"/>
    <w:rsid w:val="004231EA"/>
    <w:rsid w:val="00423AB8"/>
    <w:rsid w:val="00425239"/>
    <w:rsid w:val="004270B4"/>
    <w:rsid w:val="0042749E"/>
    <w:rsid w:val="0043025C"/>
    <w:rsid w:val="00430671"/>
    <w:rsid w:val="00430EA9"/>
    <w:rsid w:val="00430EB0"/>
    <w:rsid w:val="004311BC"/>
    <w:rsid w:val="00433ED1"/>
    <w:rsid w:val="00434306"/>
    <w:rsid w:val="00434ADB"/>
    <w:rsid w:val="00435E2E"/>
    <w:rsid w:val="0043655D"/>
    <w:rsid w:val="00436A47"/>
    <w:rsid w:val="0043731A"/>
    <w:rsid w:val="00437366"/>
    <w:rsid w:val="00437B8C"/>
    <w:rsid w:val="0044023B"/>
    <w:rsid w:val="00441A0A"/>
    <w:rsid w:val="004428BB"/>
    <w:rsid w:val="00443408"/>
    <w:rsid w:val="004435FB"/>
    <w:rsid w:val="00443CC6"/>
    <w:rsid w:val="00445AE9"/>
    <w:rsid w:val="00446425"/>
    <w:rsid w:val="00446725"/>
    <w:rsid w:val="00446736"/>
    <w:rsid w:val="004471EC"/>
    <w:rsid w:val="0044755F"/>
    <w:rsid w:val="00450303"/>
    <w:rsid w:val="0045066D"/>
    <w:rsid w:val="004514A7"/>
    <w:rsid w:val="004522BE"/>
    <w:rsid w:val="00452550"/>
    <w:rsid w:val="00452F8A"/>
    <w:rsid w:val="00453686"/>
    <w:rsid w:val="00453803"/>
    <w:rsid w:val="004538CA"/>
    <w:rsid w:val="00453B49"/>
    <w:rsid w:val="004547AC"/>
    <w:rsid w:val="00455DC6"/>
    <w:rsid w:val="00457312"/>
    <w:rsid w:val="00457C09"/>
    <w:rsid w:val="00457DAE"/>
    <w:rsid w:val="00460C55"/>
    <w:rsid w:val="0046135E"/>
    <w:rsid w:val="004641D6"/>
    <w:rsid w:val="00465066"/>
    <w:rsid w:val="00465427"/>
    <w:rsid w:val="0046555B"/>
    <w:rsid w:val="00467202"/>
    <w:rsid w:val="00467FCC"/>
    <w:rsid w:val="00471CBA"/>
    <w:rsid w:val="00471CF6"/>
    <w:rsid w:val="00472B34"/>
    <w:rsid w:val="00472F89"/>
    <w:rsid w:val="004730BA"/>
    <w:rsid w:val="004747BD"/>
    <w:rsid w:val="00474D35"/>
    <w:rsid w:val="00476DF1"/>
    <w:rsid w:val="00480B4B"/>
    <w:rsid w:val="0048247E"/>
    <w:rsid w:val="00482AEE"/>
    <w:rsid w:val="00482E18"/>
    <w:rsid w:val="00485F99"/>
    <w:rsid w:val="00486627"/>
    <w:rsid w:val="004869D4"/>
    <w:rsid w:val="00487578"/>
    <w:rsid w:val="00490EA6"/>
    <w:rsid w:val="004911E2"/>
    <w:rsid w:val="00492426"/>
    <w:rsid w:val="004938B4"/>
    <w:rsid w:val="00493FFE"/>
    <w:rsid w:val="00494BB0"/>
    <w:rsid w:val="0049567B"/>
    <w:rsid w:val="00496252"/>
    <w:rsid w:val="0049659C"/>
    <w:rsid w:val="004968CB"/>
    <w:rsid w:val="004A097E"/>
    <w:rsid w:val="004A4843"/>
    <w:rsid w:val="004A4CA8"/>
    <w:rsid w:val="004A53AF"/>
    <w:rsid w:val="004A6BFF"/>
    <w:rsid w:val="004B066D"/>
    <w:rsid w:val="004B1201"/>
    <w:rsid w:val="004B1C66"/>
    <w:rsid w:val="004B21CF"/>
    <w:rsid w:val="004B2625"/>
    <w:rsid w:val="004B27A1"/>
    <w:rsid w:val="004B3591"/>
    <w:rsid w:val="004B4ACC"/>
    <w:rsid w:val="004B5548"/>
    <w:rsid w:val="004B5A0A"/>
    <w:rsid w:val="004B7990"/>
    <w:rsid w:val="004C0066"/>
    <w:rsid w:val="004C01AF"/>
    <w:rsid w:val="004C03BE"/>
    <w:rsid w:val="004C059C"/>
    <w:rsid w:val="004C15FC"/>
    <w:rsid w:val="004C2BDE"/>
    <w:rsid w:val="004C2DEF"/>
    <w:rsid w:val="004C2E9F"/>
    <w:rsid w:val="004C3309"/>
    <w:rsid w:val="004C459B"/>
    <w:rsid w:val="004C4943"/>
    <w:rsid w:val="004C5526"/>
    <w:rsid w:val="004C615D"/>
    <w:rsid w:val="004C6447"/>
    <w:rsid w:val="004C66CE"/>
    <w:rsid w:val="004C7108"/>
    <w:rsid w:val="004C7FDB"/>
    <w:rsid w:val="004D0038"/>
    <w:rsid w:val="004D09CB"/>
    <w:rsid w:val="004D0B5C"/>
    <w:rsid w:val="004D1A92"/>
    <w:rsid w:val="004D2243"/>
    <w:rsid w:val="004D29B9"/>
    <w:rsid w:val="004D301F"/>
    <w:rsid w:val="004D32A4"/>
    <w:rsid w:val="004D33C0"/>
    <w:rsid w:val="004D3D63"/>
    <w:rsid w:val="004D3EFF"/>
    <w:rsid w:val="004D44C4"/>
    <w:rsid w:val="004D5EAB"/>
    <w:rsid w:val="004D6B62"/>
    <w:rsid w:val="004E079F"/>
    <w:rsid w:val="004E0BAE"/>
    <w:rsid w:val="004E2316"/>
    <w:rsid w:val="004E3140"/>
    <w:rsid w:val="004E46DB"/>
    <w:rsid w:val="004E4C65"/>
    <w:rsid w:val="004E59E6"/>
    <w:rsid w:val="004E6538"/>
    <w:rsid w:val="004E6849"/>
    <w:rsid w:val="004E6B23"/>
    <w:rsid w:val="004E6C94"/>
    <w:rsid w:val="004E72F4"/>
    <w:rsid w:val="004E7C03"/>
    <w:rsid w:val="004F018F"/>
    <w:rsid w:val="004F0472"/>
    <w:rsid w:val="004F070E"/>
    <w:rsid w:val="004F0C32"/>
    <w:rsid w:val="004F0DBA"/>
    <w:rsid w:val="004F179E"/>
    <w:rsid w:val="004F491C"/>
    <w:rsid w:val="004F4EE7"/>
    <w:rsid w:val="004F580D"/>
    <w:rsid w:val="004F5BAF"/>
    <w:rsid w:val="004F6268"/>
    <w:rsid w:val="004F6514"/>
    <w:rsid w:val="00500466"/>
    <w:rsid w:val="00500B56"/>
    <w:rsid w:val="0050366E"/>
    <w:rsid w:val="0050422C"/>
    <w:rsid w:val="00505488"/>
    <w:rsid w:val="00505B2C"/>
    <w:rsid w:val="00506321"/>
    <w:rsid w:val="00507178"/>
    <w:rsid w:val="00507577"/>
    <w:rsid w:val="00510A5E"/>
    <w:rsid w:val="005135E1"/>
    <w:rsid w:val="00513F8C"/>
    <w:rsid w:val="00516376"/>
    <w:rsid w:val="0051656C"/>
    <w:rsid w:val="00516E34"/>
    <w:rsid w:val="005177E9"/>
    <w:rsid w:val="00517D3F"/>
    <w:rsid w:val="00520437"/>
    <w:rsid w:val="00520E7D"/>
    <w:rsid w:val="0052181E"/>
    <w:rsid w:val="00522B31"/>
    <w:rsid w:val="005237F4"/>
    <w:rsid w:val="005243D6"/>
    <w:rsid w:val="0052472A"/>
    <w:rsid w:val="00525038"/>
    <w:rsid w:val="005254DA"/>
    <w:rsid w:val="005259E4"/>
    <w:rsid w:val="005271A5"/>
    <w:rsid w:val="00527FA2"/>
    <w:rsid w:val="0053032F"/>
    <w:rsid w:val="005309D9"/>
    <w:rsid w:val="00532B50"/>
    <w:rsid w:val="00533FE2"/>
    <w:rsid w:val="0053515D"/>
    <w:rsid w:val="0053519B"/>
    <w:rsid w:val="00535F67"/>
    <w:rsid w:val="005372C7"/>
    <w:rsid w:val="005426A8"/>
    <w:rsid w:val="00542BE1"/>
    <w:rsid w:val="005437A3"/>
    <w:rsid w:val="0054405A"/>
    <w:rsid w:val="005441B0"/>
    <w:rsid w:val="00544226"/>
    <w:rsid w:val="00544FA1"/>
    <w:rsid w:val="00545528"/>
    <w:rsid w:val="005455A7"/>
    <w:rsid w:val="00546462"/>
    <w:rsid w:val="0054652C"/>
    <w:rsid w:val="0054797B"/>
    <w:rsid w:val="005502EC"/>
    <w:rsid w:val="00550CF2"/>
    <w:rsid w:val="00550DFE"/>
    <w:rsid w:val="00551826"/>
    <w:rsid w:val="00551D02"/>
    <w:rsid w:val="00551D0E"/>
    <w:rsid w:val="00551D3D"/>
    <w:rsid w:val="00552BB0"/>
    <w:rsid w:val="005539DE"/>
    <w:rsid w:val="00554129"/>
    <w:rsid w:val="0055414C"/>
    <w:rsid w:val="00555F5C"/>
    <w:rsid w:val="005608B7"/>
    <w:rsid w:val="00561F14"/>
    <w:rsid w:val="00564690"/>
    <w:rsid w:val="00564740"/>
    <w:rsid w:val="005647DA"/>
    <w:rsid w:val="00564F2F"/>
    <w:rsid w:val="00565319"/>
    <w:rsid w:val="005666B8"/>
    <w:rsid w:val="00567E5F"/>
    <w:rsid w:val="00571A3C"/>
    <w:rsid w:val="00572D74"/>
    <w:rsid w:val="00573D14"/>
    <w:rsid w:val="0057472E"/>
    <w:rsid w:val="00574C29"/>
    <w:rsid w:val="0057524F"/>
    <w:rsid w:val="00575843"/>
    <w:rsid w:val="00575FD7"/>
    <w:rsid w:val="0058007F"/>
    <w:rsid w:val="00580943"/>
    <w:rsid w:val="005817E7"/>
    <w:rsid w:val="00581B15"/>
    <w:rsid w:val="00581D10"/>
    <w:rsid w:val="005821BF"/>
    <w:rsid w:val="00582C7F"/>
    <w:rsid w:val="005831DE"/>
    <w:rsid w:val="00583C77"/>
    <w:rsid w:val="00585E64"/>
    <w:rsid w:val="00586A08"/>
    <w:rsid w:val="00587317"/>
    <w:rsid w:val="00590896"/>
    <w:rsid w:val="005914BF"/>
    <w:rsid w:val="00591BEA"/>
    <w:rsid w:val="00591FD9"/>
    <w:rsid w:val="005933B3"/>
    <w:rsid w:val="005938FB"/>
    <w:rsid w:val="00594E03"/>
    <w:rsid w:val="0059586D"/>
    <w:rsid w:val="00597F8F"/>
    <w:rsid w:val="005A0C4C"/>
    <w:rsid w:val="005A11C1"/>
    <w:rsid w:val="005A1280"/>
    <w:rsid w:val="005A13A0"/>
    <w:rsid w:val="005A1AA2"/>
    <w:rsid w:val="005A24B5"/>
    <w:rsid w:val="005A6165"/>
    <w:rsid w:val="005A76F7"/>
    <w:rsid w:val="005B0288"/>
    <w:rsid w:val="005B1099"/>
    <w:rsid w:val="005B1C27"/>
    <w:rsid w:val="005B26B0"/>
    <w:rsid w:val="005B2E0E"/>
    <w:rsid w:val="005B2E32"/>
    <w:rsid w:val="005B3951"/>
    <w:rsid w:val="005B4D8F"/>
    <w:rsid w:val="005C02B3"/>
    <w:rsid w:val="005C0E9A"/>
    <w:rsid w:val="005C166A"/>
    <w:rsid w:val="005C17B7"/>
    <w:rsid w:val="005C1E36"/>
    <w:rsid w:val="005C3363"/>
    <w:rsid w:val="005C352B"/>
    <w:rsid w:val="005C6021"/>
    <w:rsid w:val="005D09F8"/>
    <w:rsid w:val="005D14FE"/>
    <w:rsid w:val="005D2B2B"/>
    <w:rsid w:val="005D2F96"/>
    <w:rsid w:val="005D3794"/>
    <w:rsid w:val="005D3DE2"/>
    <w:rsid w:val="005D539F"/>
    <w:rsid w:val="005D5ABF"/>
    <w:rsid w:val="005D664B"/>
    <w:rsid w:val="005D6783"/>
    <w:rsid w:val="005D6D2E"/>
    <w:rsid w:val="005D7037"/>
    <w:rsid w:val="005D7053"/>
    <w:rsid w:val="005D7701"/>
    <w:rsid w:val="005D7866"/>
    <w:rsid w:val="005E0E12"/>
    <w:rsid w:val="005E14FC"/>
    <w:rsid w:val="005E1E2E"/>
    <w:rsid w:val="005E2693"/>
    <w:rsid w:val="005E335E"/>
    <w:rsid w:val="005E3702"/>
    <w:rsid w:val="005E3FA5"/>
    <w:rsid w:val="005E4298"/>
    <w:rsid w:val="005E6304"/>
    <w:rsid w:val="005E6917"/>
    <w:rsid w:val="005E6AB9"/>
    <w:rsid w:val="005E74F1"/>
    <w:rsid w:val="005E7D31"/>
    <w:rsid w:val="005F045A"/>
    <w:rsid w:val="005F1BA7"/>
    <w:rsid w:val="005F1C78"/>
    <w:rsid w:val="005F2F54"/>
    <w:rsid w:val="005F7BCA"/>
    <w:rsid w:val="006007AD"/>
    <w:rsid w:val="006010BD"/>
    <w:rsid w:val="006024B9"/>
    <w:rsid w:val="00602CE9"/>
    <w:rsid w:val="006031E9"/>
    <w:rsid w:val="006038F9"/>
    <w:rsid w:val="006039A6"/>
    <w:rsid w:val="00603CD6"/>
    <w:rsid w:val="00604D5B"/>
    <w:rsid w:val="0060502F"/>
    <w:rsid w:val="0060511F"/>
    <w:rsid w:val="00606DA0"/>
    <w:rsid w:val="00607D7A"/>
    <w:rsid w:val="00611CC8"/>
    <w:rsid w:val="00613413"/>
    <w:rsid w:val="00613833"/>
    <w:rsid w:val="00613A06"/>
    <w:rsid w:val="00613A6E"/>
    <w:rsid w:val="006140AC"/>
    <w:rsid w:val="00614D64"/>
    <w:rsid w:val="00615A4E"/>
    <w:rsid w:val="00616D44"/>
    <w:rsid w:val="0061703F"/>
    <w:rsid w:val="00617EC2"/>
    <w:rsid w:val="006218B4"/>
    <w:rsid w:val="006220ED"/>
    <w:rsid w:val="00622D9D"/>
    <w:rsid w:val="00624D45"/>
    <w:rsid w:val="0062702C"/>
    <w:rsid w:val="00627156"/>
    <w:rsid w:val="00627544"/>
    <w:rsid w:val="00632431"/>
    <w:rsid w:val="00633074"/>
    <w:rsid w:val="006354DB"/>
    <w:rsid w:val="00636AE1"/>
    <w:rsid w:val="006379C4"/>
    <w:rsid w:val="00637D62"/>
    <w:rsid w:val="00642089"/>
    <w:rsid w:val="006438F1"/>
    <w:rsid w:val="006447A1"/>
    <w:rsid w:val="006449F1"/>
    <w:rsid w:val="006452B5"/>
    <w:rsid w:val="00645643"/>
    <w:rsid w:val="00645865"/>
    <w:rsid w:val="00646A65"/>
    <w:rsid w:val="00650781"/>
    <w:rsid w:val="00651D00"/>
    <w:rsid w:val="00652711"/>
    <w:rsid w:val="00653B01"/>
    <w:rsid w:val="00660214"/>
    <w:rsid w:val="006603BD"/>
    <w:rsid w:val="00661DAB"/>
    <w:rsid w:val="00661F81"/>
    <w:rsid w:val="00662053"/>
    <w:rsid w:val="00662402"/>
    <w:rsid w:val="00662DB5"/>
    <w:rsid w:val="006635C0"/>
    <w:rsid w:val="006647B5"/>
    <w:rsid w:val="00666677"/>
    <w:rsid w:val="00666F74"/>
    <w:rsid w:val="00670AFE"/>
    <w:rsid w:val="00671B28"/>
    <w:rsid w:val="00672921"/>
    <w:rsid w:val="00673D8F"/>
    <w:rsid w:val="00675DB7"/>
    <w:rsid w:val="00676778"/>
    <w:rsid w:val="00676C16"/>
    <w:rsid w:val="00681BE3"/>
    <w:rsid w:val="00682AE2"/>
    <w:rsid w:val="00683BCC"/>
    <w:rsid w:val="00683DFC"/>
    <w:rsid w:val="00684FF3"/>
    <w:rsid w:val="0068501E"/>
    <w:rsid w:val="006852B4"/>
    <w:rsid w:val="00685760"/>
    <w:rsid w:val="00686DB5"/>
    <w:rsid w:val="00686E7F"/>
    <w:rsid w:val="0068710D"/>
    <w:rsid w:val="00687EC6"/>
    <w:rsid w:val="00690C6D"/>
    <w:rsid w:val="0069130B"/>
    <w:rsid w:val="0069357D"/>
    <w:rsid w:val="00693FB5"/>
    <w:rsid w:val="00695DDF"/>
    <w:rsid w:val="00697875"/>
    <w:rsid w:val="00697F8F"/>
    <w:rsid w:val="006A0B71"/>
    <w:rsid w:val="006A27D5"/>
    <w:rsid w:val="006A28BA"/>
    <w:rsid w:val="006A5E03"/>
    <w:rsid w:val="006B0070"/>
    <w:rsid w:val="006B0B17"/>
    <w:rsid w:val="006B11F7"/>
    <w:rsid w:val="006B2881"/>
    <w:rsid w:val="006B317B"/>
    <w:rsid w:val="006B3AD9"/>
    <w:rsid w:val="006B633D"/>
    <w:rsid w:val="006C142D"/>
    <w:rsid w:val="006C15FE"/>
    <w:rsid w:val="006C24AE"/>
    <w:rsid w:val="006C3484"/>
    <w:rsid w:val="006C4171"/>
    <w:rsid w:val="006C46CC"/>
    <w:rsid w:val="006C5C36"/>
    <w:rsid w:val="006C7CDE"/>
    <w:rsid w:val="006D018F"/>
    <w:rsid w:val="006D10C3"/>
    <w:rsid w:val="006D178F"/>
    <w:rsid w:val="006D19FE"/>
    <w:rsid w:val="006D2BAE"/>
    <w:rsid w:val="006D4125"/>
    <w:rsid w:val="006D5158"/>
    <w:rsid w:val="006D6623"/>
    <w:rsid w:val="006D6F61"/>
    <w:rsid w:val="006D7935"/>
    <w:rsid w:val="006D7952"/>
    <w:rsid w:val="006E0259"/>
    <w:rsid w:val="006E0ED3"/>
    <w:rsid w:val="006E2E84"/>
    <w:rsid w:val="006E376A"/>
    <w:rsid w:val="006E3B6A"/>
    <w:rsid w:val="006E45A8"/>
    <w:rsid w:val="006E47BE"/>
    <w:rsid w:val="006E4889"/>
    <w:rsid w:val="006E491D"/>
    <w:rsid w:val="006E49DB"/>
    <w:rsid w:val="006E4B5F"/>
    <w:rsid w:val="006E51EA"/>
    <w:rsid w:val="006E53D9"/>
    <w:rsid w:val="006E57C3"/>
    <w:rsid w:val="006E623F"/>
    <w:rsid w:val="006E6940"/>
    <w:rsid w:val="006E6B30"/>
    <w:rsid w:val="006E6BC9"/>
    <w:rsid w:val="006F2E11"/>
    <w:rsid w:val="006F3F14"/>
    <w:rsid w:val="006F431D"/>
    <w:rsid w:val="006F4F20"/>
    <w:rsid w:val="006F608E"/>
    <w:rsid w:val="006F6294"/>
    <w:rsid w:val="006F7435"/>
    <w:rsid w:val="006F7865"/>
    <w:rsid w:val="00700671"/>
    <w:rsid w:val="00701CBE"/>
    <w:rsid w:val="00702A3E"/>
    <w:rsid w:val="007031E4"/>
    <w:rsid w:val="00703E98"/>
    <w:rsid w:val="00704767"/>
    <w:rsid w:val="00706AB1"/>
    <w:rsid w:val="00707131"/>
    <w:rsid w:val="007071BB"/>
    <w:rsid w:val="007071D2"/>
    <w:rsid w:val="0070770F"/>
    <w:rsid w:val="00710874"/>
    <w:rsid w:val="00710AF9"/>
    <w:rsid w:val="007118DC"/>
    <w:rsid w:val="007119B6"/>
    <w:rsid w:val="00711CAE"/>
    <w:rsid w:val="00712420"/>
    <w:rsid w:val="0071259A"/>
    <w:rsid w:val="00714E98"/>
    <w:rsid w:val="00715509"/>
    <w:rsid w:val="00715B33"/>
    <w:rsid w:val="007164EA"/>
    <w:rsid w:val="00720B91"/>
    <w:rsid w:val="00722537"/>
    <w:rsid w:val="0072414C"/>
    <w:rsid w:val="007245FC"/>
    <w:rsid w:val="0072528D"/>
    <w:rsid w:val="007253E4"/>
    <w:rsid w:val="00725DFF"/>
    <w:rsid w:val="007260C8"/>
    <w:rsid w:val="0072629B"/>
    <w:rsid w:val="007262AA"/>
    <w:rsid w:val="007268B2"/>
    <w:rsid w:val="00726CAF"/>
    <w:rsid w:val="007310C0"/>
    <w:rsid w:val="007335C5"/>
    <w:rsid w:val="0073428E"/>
    <w:rsid w:val="00734BAA"/>
    <w:rsid w:val="00734BB7"/>
    <w:rsid w:val="00735424"/>
    <w:rsid w:val="00735CE9"/>
    <w:rsid w:val="00736C4B"/>
    <w:rsid w:val="007375FD"/>
    <w:rsid w:val="00737816"/>
    <w:rsid w:val="0074064B"/>
    <w:rsid w:val="00741929"/>
    <w:rsid w:val="007422E7"/>
    <w:rsid w:val="007425B3"/>
    <w:rsid w:val="00743B5D"/>
    <w:rsid w:val="007441BB"/>
    <w:rsid w:val="00745D7F"/>
    <w:rsid w:val="007503DF"/>
    <w:rsid w:val="00750473"/>
    <w:rsid w:val="00752570"/>
    <w:rsid w:val="007531E1"/>
    <w:rsid w:val="00753EE5"/>
    <w:rsid w:val="007546D7"/>
    <w:rsid w:val="007546FF"/>
    <w:rsid w:val="0075475B"/>
    <w:rsid w:val="00754942"/>
    <w:rsid w:val="007558F3"/>
    <w:rsid w:val="00757471"/>
    <w:rsid w:val="007604B2"/>
    <w:rsid w:val="00760BA2"/>
    <w:rsid w:val="00764AF3"/>
    <w:rsid w:val="00765E93"/>
    <w:rsid w:val="00765F3F"/>
    <w:rsid w:val="00766216"/>
    <w:rsid w:val="00766D07"/>
    <w:rsid w:val="00766D6E"/>
    <w:rsid w:val="00767CDE"/>
    <w:rsid w:val="00770EAE"/>
    <w:rsid w:val="007724F1"/>
    <w:rsid w:val="007750AE"/>
    <w:rsid w:val="00775AFA"/>
    <w:rsid w:val="00776225"/>
    <w:rsid w:val="00776788"/>
    <w:rsid w:val="00776CD2"/>
    <w:rsid w:val="007808E5"/>
    <w:rsid w:val="00780B35"/>
    <w:rsid w:val="00781294"/>
    <w:rsid w:val="00781D64"/>
    <w:rsid w:val="00781F60"/>
    <w:rsid w:val="007834E1"/>
    <w:rsid w:val="00783D1A"/>
    <w:rsid w:val="0078445D"/>
    <w:rsid w:val="00785049"/>
    <w:rsid w:val="007858F8"/>
    <w:rsid w:val="007868E7"/>
    <w:rsid w:val="00786981"/>
    <w:rsid w:val="00786B13"/>
    <w:rsid w:val="007937D7"/>
    <w:rsid w:val="007940B3"/>
    <w:rsid w:val="00795144"/>
    <w:rsid w:val="00796957"/>
    <w:rsid w:val="00797681"/>
    <w:rsid w:val="007A0679"/>
    <w:rsid w:val="007A1063"/>
    <w:rsid w:val="007A2169"/>
    <w:rsid w:val="007A247F"/>
    <w:rsid w:val="007A2E7E"/>
    <w:rsid w:val="007A4933"/>
    <w:rsid w:val="007A50D1"/>
    <w:rsid w:val="007A6AEC"/>
    <w:rsid w:val="007A6CEE"/>
    <w:rsid w:val="007A6E3B"/>
    <w:rsid w:val="007B020E"/>
    <w:rsid w:val="007B0804"/>
    <w:rsid w:val="007B1070"/>
    <w:rsid w:val="007B15A8"/>
    <w:rsid w:val="007B16E6"/>
    <w:rsid w:val="007B2A10"/>
    <w:rsid w:val="007B331B"/>
    <w:rsid w:val="007B3F10"/>
    <w:rsid w:val="007B4BA3"/>
    <w:rsid w:val="007B4C0B"/>
    <w:rsid w:val="007B4F6E"/>
    <w:rsid w:val="007B599C"/>
    <w:rsid w:val="007B5F65"/>
    <w:rsid w:val="007C11E0"/>
    <w:rsid w:val="007C1973"/>
    <w:rsid w:val="007C231A"/>
    <w:rsid w:val="007C2C82"/>
    <w:rsid w:val="007C5370"/>
    <w:rsid w:val="007C5B60"/>
    <w:rsid w:val="007C60CE"/>
    <w:rsid w:val="007C65A7"/>
    <w:rsid w:val="007C73CF"/>
    <w:rsid w:val="007C7EDB"/>
    <w:rsid w:val="007D141A"/>
    <w:rsid w:val="007D3B5D"/>
    <w:rsid w:val="007D539F"/>
    <w:rsid w:val="007D53BC"/>
    <w:rsid w:val="007D55D5"/>
    <w:rsid w:val="007D6BB2"/>
    <w:rsid w:val="007E0AF6"/>
    <w:rsid w:val="007E0CBD"/>
    <w:rsid w:val="007E1BBD"/>
    <w:rsid w:val="007E1BD8"/>
    <w:rsid w:val="007E1F7E"/>
    <w:rsid w:val="007E29B0"/>
    <w:rsid w:val="007E3587"/>
    <w:rsid w:val="007E40C7"/>
    <w:rsid w:val="007E4F95"/>
    <w:rsid w:val="007E6439"/>
    <w:rsid w:val="007E7368"/>
    <w:rsid w:val="007F0737"/>
    <w:rsid w:val="007F08C1"/>
    <w:rsid w:val="007F12AD"/>
    <w:rsid w:val="007F13DE"/>
    <w:rsid w:val="007F2009"/>
    <w:rsid w:val="007F2FE5"/>
    <w:rsid w:val="007F3822"/>
    <w:rsid w:val="007F4625"/>
    <w:rsid w:val="007F4CB1"/>
    <w:rsid w:val="007F50A9"/>
    <w:rsid w:val="007F5552"/>
    <w:rsid w:val="007F623F"/>
    <w:rsid w:val="007F7073"/>
    <w:rsid w:val="007F708C"/>
    <w:rsid w:val="007F731D"/>
    <w:rsid w:val="007F762F"/>
    <w:rsid w:val="007F7B5F"/>
    <w:rsid w:val="00800533"/>
    <w:rsid w:val="00800E26"/>
    <w:rsid w:val="0080166F"/>
    <w:rsid w:val="008024E5"/>
    <w:rsid w:val="00803841"/>
    <w:rsid w:val="00804314"/>
    <w:rsid w:val="00804769"/>
    <w:rsid w:val="008054E7"/>
    <w:rsid w:val="00805EFB"/>
    <w:rsid w:val="00807C31"/>
    <w:rsid w:val="008106DF"/>
    <w:rsid w:val="00811163"/>
    <w:rsid w:val="0081121D"/>
    <w:rsid w:val="00811546"/>
    <w:rsid w:val="008144A8"/>
    <w:rsid w:val="0081579C"/>
    <w:rsid w:val="00815ECC"/>
    <w:rsid w:val="008161B0"/>
    <w:rsid w:val="00816C47"/>
    <w:rsid w:val="00817838"/>
    <w:rsid w:val="00817C9B"/>
    <w:rsid w:val="00821758"/>
    <w:rsid w:val="0082248A"/>
    <w:rsid w:val="00822820"/>
    <w:rsid w:val="00823055"/>
    <w:rsid w:val="00823093"/>
    <w:rsid w:val="008247C1"/>
    <w:rsid w:val="00825272"/>
    <w:rsid w:val="00831B13"/>
    <w:rsid w:val="008326BB"/>
    <w:rsid w:val="008334A0"/>
    <w:rsid w:val="00833A04"/>
    <w:rsid w:val="0083442D"/>
    <w:rsid w:val="00835CCA"/>
    <w:rsid w:val="00836909"/>
    <w:rsid w:val="00837037"/>
    <w:rsid w:val="008377E6"/>
    <w:rsid w:val="00840301"/>
    <w:rsid w:val="00841D82"/>
    <w:rsid w:val="00844CCE"/>
    <w:rsid w:val="00844F92"/>
    <w:rsid w:val="00847230"/>
    <w:rsid w:val="00847FF3"/>
    <w:rsid w:val="008507A8"/>
    <w:rsid w:val="00851096"/>
    <w:rsid w:val="008511DA"/>
    <w:rsid w:val="008514A6"/>
    <w:rsid w:val="00853D99"/>
    <w:rsid w:val="0085539F"/>
    <w:rsid w:val="0085769D"/>
    <w:rsid w:val="008618F3"/>
    <w:rsid w:val="00862457"/>
    <w:rsid w:val="00862A43"/>
    <w:rsid w:val="00862D4E"/>
    <w:rsid w:val="00863003"/>
    <w:rsid w:val="00863A38"/>
    <w:rsid w:val="008645A9"/>
    <w:rsid w:val="0086550D"/>
    <w:rsid w:val="00865C0B"/>
    <w:rsid w:val="00866BCA"/>
    <w:rsid w:val="008674AB"/>
    <w:rsid w:val="00872227"/>
    <w:rsid w:val="00872919"/>
    <w:rsid w:val="00872B27"/>
    <w:rsid w:val="008733D3"/>
    <w:rsid w:val="00875EFB"/>
    <w:rsid w:val="00876D8C"/>
    <w:rsid w:val="008807A3"/>
    <w:rsid w:val="00880A5E"/>
    <w:rsid w:val="0088147D"/>
    <w:rsid w:val="008824C7"/>
    <w:rsid w:val="00882D30"/>
    <w:rsid w:val="00882F69"/>
    <w:rsid w:val="0088481B"/>
    <w:rsid w:val="00884F2C"/>
    <w:rsid w:val="00886047"/>
    <w:rsid w:val="00886452"/>
    <w:rsid w:val="0088667B"/>
    <w:rsid w:val="0088684F"/>
    <w:rsid w:val="00887678"/>
    <w:rsid w:val="0089193C"/>
    <w:rsid w:val="00892130"/>
    <w:rsid w:val="008923B2"/>
    <w:rsid w:val="00892F2A"/>
    <w:rsid w:val="008938DB"/>
    <w:rsid w:val="00893E35"/>
    <w:rsid w:val="00893F37"/>
    <w:rsid w:val="00894C8B"/>
    <w:rsid w:val="00896506"/>
    <w:rsid w:val="00896B3E"/>
    <w:rsid w:val="00897A35"/>
    <w:rsid w:val="00897B70"/>
    <w:rsid w:val="008A0D54"/>
    <w:rsid w:val="008A0DA6"/>
    <w:rsid w:val="008A2002"/>
    <w:rsid w:val="008A228C"/>
    <w:rsid w:val="008A2664"/>
    <w:rsid w:val="008A27BB"/>
    <w:rsid w:val="008A2F49"/>
    <w:rsid w:val="008A40F9"/>
    <w:rsid w:val="008A40FC"/>
    <w:rsid w:val="008A4196"/>
    <w:rsid w:val="008A44BD"/>
    <w:rsid w:val="008A4AAB"/>
    <w:rsid w:val="008A4E9D"/>
    <w:rsid w:val="008A6778"/>
    <w:rsid w:val="008A679F"/>
    <w:rsid w:val="008A7AF8"/>
    <w:rsid w:val="008B0003"/>
    <w:rsid w:val="008B0720"/>
    <w:rsid w:val="008B0A26"/>
    <w:rsid w:val="008B0C87"/>
    <w:rsid w:val="008B1479"/>
    <w:rsid w:val="008B2E5C"/>
    <w:rsid w:val="008B306B"/>
    <w:rsid w:val="008B43D5"/>
    <w:rsid w:val="008B4964"/>
    <w:rsid w:val="008B5D61"/>
    <w:rsid w:val="008B6A04"/>
    <w:rsid w:val="008B6A91"/>
    <w:rsid w:val="008B6B6C"/>
    <w:rsid w:val="008B7792"/>
    <w:rsid w:val="008C19E8"/>
    <w:rsid w:val="008C23F4"/>
    <w:rsid w:val="008C3208"/>
    <w:rsid w:val="008C3ADA"/>
    <w:rsid w:val="008C4A7C"/>
    <w:rsid w:val="008C547E"/>
    <w:rsid w:val="008C571F"/>
    <w:rsid w:val="008C605E"/>
    <w:rsid w:val="008C69E1"/>
    <w:rsid w:val="008C6DC6"/>
    <w:rsid w:val="008C73C9"/>
    <w:rsid w:val="008D0633"/>
    <w:rsid w:val="008D0A9F"/>
    <w:rsid w:val="008D11A8"/>
    <w:rsid w:val="008D2902"/>
    <w:rsid w:val="008D35F1"/>
    <w:rsid w:val="008D3CA0"/>
    <w:rsid w:val="008D5786"/>
    <w:rsid w:val="008D5E89"/>
    <w:rsid w:val="008D745A"/>
    <w:rsid w:val="008D7614"/>
    <w:rsid w:val="008E0295"/>
    <w:rsid w:val="008E0438"/>
    <w:rsid w:val="008E19D2"/>
    <w:rsid w:val="008E1AB4"/>
    <w:rsid w:val="008E383F"/>
    <w:rsid w:val="008E3C62"/>
    <w:rsid w:val="008E3E26"/>
    <w:rsid w:val="008E4839"/>
    <w:rsid w:val="008E7105"/>
    <w:rsid w:val="008F0BE9"/>
    <w:rsid w:val="008F1FB6"/>
    <w:rsid w:val="008F2634"/>
    <w:rsid w:val="008F3294"/>
    <w:rsid w:val="008F3598"/>
    <w:rsid w:val="008F35F1"/>
    <w:rsid w:val="008F4D9F"/>
    <w:rsid w:val="008F64EB"/>
    <w:rsid w:val="009008E3"/>
    <w:rsid w:val="00900914"/>
    <w:rsid w:val="009019DD"/>
    <w:rsid w:val="009019E6"/>
    <w:rsid w:val="009024FC"/>
    <w:rsid w:val="009056CC"/>
    <w:rsid w:val="00906068"/>
    <w:rsid w:val="0090688F"/>
    <w:rsid w:val="00907A9C"/>
    <w:rsid w:val="009108EE"/>
    <w:rsid w:val="00910DC9"/>
    <w:rsid w:val="00911FB3"/>
    <w:rsid w:val="009129C1"/>
    <w:rsid w:val="00912D41"/>
    <w:rsid w:val="00912F23"/>
    <w:rsid w:val="00913B97"/>
    <w:rsid w:val="00914D5F"/>
    <w:rsid w:val="00915291"/>
    <w:rsid w:val="00916C12"/>
    <w:rsid w:val="00917499"/>
    <w:rsid w:val="00920A2E"/>
    <w:rsid w:val="00921332"/>
    <w:rsid w:val="00921FF7"/>
    <w:rsid w:val="00923504"/>
    <w:rsid w:val="00923946"/>
    <w:rsid w:val="009248C9"/>
    <w:rsid w:val="00924E3D"/>
    <w:rsid w:val="0092520F"/>
    <w:rsid w:val="009252E6"/>
    <w:rsid w:val="009255C3"/>
    <w:rsid w:val="00926527"/>
    <w:rsid w:val="009300C7"/>
    <w:rsid w:val="00931732"/>
    <w:rsid w:val="00931D49"/>
    <w:rsid w:val="00931DA9"/>
    <w:rsid w:val="0093225F"/>
    <w:rsid w:val="00932E4D"/>
    <w:rsid w:val="0093340F"/>
    <w:rsid w:val="00933651"/>
    <w:rsid w:val="009351B8"/>
    <w:rsid w:val="00935F2A"/>
    <w:rsid w:val="00937DBF"/>
    <w:rsid w:val="00937EFE"/>
    <w:rsid w:val="00941C8C"/>
    <w:rsid w:val="00942963"/>
    <w:rsid w:val="00944D44"/>
    <w:rsid w:val="009453A1"/>
    <w:rsid w:val="009455A2"/>
    <w:rsid w:val="0094563D"/>
    <w:rsid w:val="00946219"/>
    <w:rsid w:val="00950D83"/>
    <w:rsid w:val="0095109B"/>
    <w:rsid w:val="00951571"/>
    <w:rsid w:val="009516B2"/>
    <w:rsid w:val="00951B87"/>
    <w:rsid w:val="00954938"/>
    <w:rsid w:val="00955833"/>
    <w:rsid w:val="0095762F"/>
    <w:rsid w:val="00957D5D"/>
    <w:rsid w:val="00957EE1"/>
    <w:rsid w:val="009605EA"/>
    <w:rsid w:val="00961687"/>
    <w:rsid w:val="00963F78"/>
    <w:rsid w:val="0096499C"/>
    <w:rsid w:val="00964B1D"/>
    <w:rsid w:val="00964D62"/>
    <w:rsid w:val="00966B18"/>
    <w:rsid w:val="00966B32"/>
    <w:rsid w:val="00966CCB"/>
    <w:rsid w:val="00967092"/>
    <w:rsid w:val="009704FD"/>
    <w:rsid w:val="00971A00"/>
    <w:rsid w:val="00971FF0"/>
    <w:rsid w:val="009729D7"/>
    <w:rsid w:val="00973532"/>
    <w:rsid w:val="00973E88"/>
    <w:rsid w:val="0097489D"/>
    <w:rsid w:val="00975435"/>
    <w:rsid w:val="009770CE"/>
    <w:rsid w:val="00977568"/>
    <w:rsid w:val="00977920"/>
    <w:rsid w:val="00980356"/>
    <w:rsid w:val="00980B74"/>
    <w:rsid w:val="00981C49"/>
    <w:rsid w:val="00982356"/>
    <w:rsid w:val="009828DE"/>
    <w:rsid w:val="00982ED4"/>
    <w:rsid w:val="0098308A"/>
    <w:rsid w:val="00983C73"/>
    <w:rsid w:val="00986E6A"/>
    <w:rsid w:val="009915DA"/>
    <w:rsid w:val="00992E51"/>
    <w:rsid w:val="00993185"/>
    <w:rsid w:val="009932BF"/>
    <w:rsid w:val="00993632"/>
    <w:rsid w:val="00994BC5"/>
    <w:rsid w:val="00997686"/>
    <w:rsid w:val="009979C4"/>
    <w:rsid w:val="009A0D37"/>
    <w:rsid w:val="009A130C"/>
    <w:rsid w:val="009A13F8"/>
    <w:rsid w:val="009A1C8D"/>
    <w:rsid w:val="009A3129"/>
    <w:rsid w:val="009A3627"/>
    <w:rsid w:val="009A395A"/>
    <w:rsid w:val="009A3BD0"/>
    <w:rsid w:val="009A3D6E"/>
    <w:rsid w:val="009A3FBE"/>
    <w:rsid w:val="009A49FE"/>
    <w:rsid w:val="009A4A14"/>
    <w:rsid w:val="009A4D3E"/>
    <w:rsid w:val="009A58FD"/>
    <w:rsid w:val="009A5B6D"/>
    <w:rsid w:val="009A67EC"/>
    <w:rsid w:val="009A7D32"/>
    <w:rsid w:val="009B1BD8"/>
    <w:rsid w:val="009B201E"/>
    <w:rsid w:val="009B29D2"/>
    <w:rsid w:val="009B35F1"/>
    <w:rsid w:val="009B385D"/>
    <w:rsid w:val="009B3A89"/>
    <w:rsid w:val="009B3B8F"/>
    <w:rsid w:val="009B4DC0"/>
    <w:rsid w:val="009B5954"/>
    <w:rsid w:val="009B6CAF"/>
    <w:rsid w:val="009B7462"/>
    <w:rsid w:val="009C0A17"/>
    <w:rsid w:val="009C39D1"/>
    <w:rsid w:val="009C3D84"/>
    <w:rsid w:val="009C4276"/>
    <w:rsid w:val="009C47D1"/>
    <w:rsid w:val="009C504C"/>
    <w:rsid w:val="009C5DD3"/>
    <w:rsid w:val="009C6CF6"/>
    <w:rsid w:val="009C7841"/>
    <w:rsid w:val="009D0140"/>
    <w:rsid w:val="009D01EB"/>
    <w:rsid w:val="009D05A6"/>
    <w:rsid w:val="009D1450"/>
    <w:rsid w:val="009D263E"/>
    <w:rsid w:val="009D334C"/>
    <w:rsid w:val="009D42EE"/>
    <w:rsid w:val="009D4EE1"/>
    <w:rsid w:val="009D52DD"/>
    <w:rsid w:val="009D5E30"/>
    <w:rsid w:val="009D7E4B"/>
    <w:rsid w:val="009E088D"/>
    <w:rsid w:val="009E0A6E"/>
    <w:rsid w:val="009E1499"/>
    <w:rsid w:val="009E1663"/>
    <w:rsid w:val="009E16BB"/>
    <w:rsid w:val="009E1C8B"/>
    <w:rsid w:val="009E6067"/>
    <w:rsid w:val="009E6082"/>
    <w:rsid w:val="009E67EF"/>
    <w:rsid w:val="009E6F47"/>
    <w:rsid w:val="009F1581"/>
    <w:rsid w:val="009F29E2"/>
    <w:rsid w:val="009F3945"/>
    <w:rsid w:val="009F3975"/>
    <w:rsid w:val="009F40CC"/>
    <w:rsid w:val="009F4E62"/>
    <w:rsid w:val="009F7AD5"/>
    <w:rsid w:val="00A003B2"/>
    <w:rsid w:val="00A01D72"/>
    <w:rsid w:val="00A037E7"/>
    <w:rsid w:val="00A041D2"/>
    <w:rsid w:val="00A0526C"/>
    <w:rsid w:val="00A054A9"/>
    <w:rsid w:val="00A061F0"/>
    <w:rsid w:val="00A068DB"/>
    <w:rsid w:val="00A07009"/>
    <w:rsid w:val="00A07DDF"/>
    <w:rsid w:val="00A100CD"/>
    <w:rsid w:val="00A10289"/>
    <w:rsid w:val="00A11095"/>
    <w:rsid w:val="00A11A1A"/>
    <w:rsid w:val="00A12935"/>
    <w:rsid w:val="00A1297E"/>
    <w:rsid w:val="00A13323"/>
    <w:rsid w:val="00A133AA"/>
    <w:rsid w:val="00A142B5"/>
    <w:rsid w:val="00A1602B"/>
    <w:rsid w:val="00A17A25"/>
    <w:rsid w:val="00A219B3"/>
    <w:rsid w:val="00A21F0E"/>
    <w:rsid w:val="00A23074"/>
    <w:rsid w:val="00A231BD"/>
    <w:rsid w:val="00A23612"/>
    <w:rsid w:val="00A23991"/>
    <w:rsid w:val="00A25ABC"/>
    <w:rsid w:val="00A310E5"/>
    <w:rsid w:val="00A3163C"/>
    <w:rsid w:val="00A3175D"/>
    <w:rsid w:val="00A3188E"/>
    <w:rsid w:val="00A3227B"/>
    <w:rsid w:val="00A32540"/>
    <w:rsid w:val="00A3260C"/>
    <w:rsid w:val="00A34229"/>
    <w:rsid w:val="00A34C47"/>
    <w:rsid w:val="00A3519B"/>
    <w:rsid w:val="00A353CE"/>
    <w:rsid w:val="00A35606"/>
    <w:rsid w:val="00A35703"/>
    <w:rsid w:val="00A358B2"/>
    <w:rsid w:val="00A35F2A"/>
    <w:rsid w:val="00A3642A"/>
    <w:rsid w:val="00A377E1"/>
    <w:rsid w:val="00A37AD5"/>
    <w:rsid w:val="00A402F5"/>
    <w:rsid w:val="00A40310"/>
    <w:rsid w:val="00A410BF"/>
    <w:rsid w:val="00A4165B"/>
    <w:rsid w:val="00A4209C"/>
    <w:rsid w:val="00A4209E"/>
    <w:rsid w:val="00A4240B"/>
    <w:rsid w:val="00A432F4"/>
    <w:rsid w:val="00A43AC6"/>
    <w:rsid w:val="00A4563C"/>
    <w:rsid w:val="00A4707C"/>
    <w:rsid w:val="00A509B3"/>
    <w:rsid w:val="00A51EC7"/>
    <w:rsid w:val="00A528FA"/>
    <w:rsid w:val="00A54A88"/>
    <w:rsid w:val="00A55CAC"/>
    <w:rsid w:val="00A57D0C"/>
    <w:rsid w:val="00A57D35"/>
    <w:rsid w:val="00A605BD"/>
    <w:rsid w:val="00A61CCF"/>
    <w:rsid w:val="00A6444F"/>
    <w:rsid w:val="00A653BD"/>
    <w:rsid w:val="00A65F48"/>
    <w:rsid w:val="00A6632D"/>
    <w:rsid w:val="00A6752C"/>
    <w:rsid w:val="00A70604"/>
    <w:rsid w:val="00A71301"/>
    <w:rsid w:val="00A72794"/>
    <w:rsid w:val="00A72B9A"/>
    <w:rsid w:val="00A7612B"/>
    <w:rsid w:val="00A7688B"/>
    <w:rsid w:val="00A76954"/>
    <w:rsid w:val="00A8176E"/>
    <w:rsid w:val="00A81777"/>
    <w:rsid w:val="00A819FD"/>
    <w:rsid w:val="00A82F7F"/>
    <w:rsid w:val="00A84E0C"/>
    <w:rsid w:val="00A8588A"/>
    <w:rsid w:val="00A85D2F"/>
    <w:rsid w:val="00A865CA"/>
    <w:rsid w:val="00A87392"/>
    <w:rsid w:val="00A87780"/>
    <w:rsid w:val="00A87E32"/>
    <w:rsid w:val="00A91296"/>
    <w:rsid w:val="00A921DC"/>
    <w:rsid w:val="00A926D4"/>
    <w:rsid w:val="00A9307E"/>
    <w:rsid w:val="00A936BC"/>
    <w:rsid w:val="00A93BE4"/>
    <w:rsid w:val="00A94D7D"/>
    <w:rsid w:val="00A954EA"/>
    <w:rsid w:val="00A96B80"/>
    <w:rsid w:val="00A9774F"/>
    <w:rsid w:val="00AA020B"/>
    <w:rsid w:val="00AA0638"/>
    <w:rsid w:val="00AA0F47"/>
    <w:rsid w:val="00AA1524"/>
    <w:rsid w:val="00AA1976"/>
    <w:rsid w:val="00AA1BCD"/>
    <w:rsid w:val="00AA33EC"/>
    <w:rsid w:val="00AA50FB"/>
    <w:rsid w:val="00AA61D2"/>
    <w:rsid w:val="00AA6356"/>
    <w:rsid w:val="00AA73E8"/>
    <w:rsid w:val="00AB065A"/>
    <w:rsid w:val="00AB107C"/>
    <w:rsid w:val="00AB1843"/>
    <w:rsid w:val="00AB43A0"/>
    <w:rsid w:val="00AB4407"/>
    <w:rsid w:val="00AB4B41"/>
    <w:rsid w:val="00AB4CE7"/>
    <w:rsid w:val="00AB52A5"/>
    <w:rsid w:val="00AB5556"/>
    <w:rsid w:val="00AB694C"/>
    <w:rsid w:val="00AB6CEA"/>
    <w:rsid w:val="00AB7B60"/>
    <w:rsid w:val="00AB7E61"/>
    <w:rsid w:val="00AC0288"/>
    <w:rsid w:val="00AC31F8"/>
    <w:rsid w:val="00AC3397"/>
    <w:rsid w:val="00AC41C3"/>
    <w:rsid w:val="00AC474A"/>
    <w:rsid w:val="00AC5733"/>
    <w:rsid w:val="00AC5A56"/>
    <w:rsid w:val="00AC5AC4"/>
    <w:rsid w:val="00AC5F0D"/>
    <w:rsid w:val="00AC6003"/>
    <w:rsid w:val="00AC7340"/>
    <w:rsid w:val="00AD05E8"/>
    <w:rsid w:val="00AD0780"/>
    <w:rsid w:val="00AD0880"/>
    <w:rsid w:val="00AD150F"/>
    <w:rsid w:val="00AD2207"/>
    <w:rsid w:val="00AD261E"/>
    <w:rsid w:val="00AD3355"/>
    <w:rsid w:val="00AD3E64"/>
    <w:rsid w:val="00AD4EF1"/>
    <w:rsid w:val="00AD76DF"/>
    <w:rsid w:val="00AE0EAA"/>
    <w:rsid w:val="00AE1721"/>
    <w:rsid w:val="00AE3C40"/>
    <w:rsid w:val="00AE410F"/>
    <w:rsid w:val="00AE45DA"/>
    <w:rsid w:val="00AE7120"/>
    <w:rsid w:val="00AF03AC"/>
    <w:rsid w:val="00AF06CF"/>
    <w:rsid w:val="00AF09ED"/>
    <w:rsid w:val="00AF29BD"/>
    <w:rsid w:val="00AF30A3"/>
    <w:rsid w:val="00AF3118"/>
    <w:rsid w:val="00AF3615"/>
    <w:rsid w:val="00AF39BD"/>
    <w:rsid w:val="00AF41A9"/>
    <w:rsid w:val="00AF796C"/>
    <w:rsid w:val="00B01146"/>
    <w:rsid w:val="00B01839"/>
    <w:rsid w:val="00B02E70"/>
    <w:rsid w:val="00B03C27"/>
    <w:rsid w:val="00B05008"/>
    <w:rsid w:val="00B110DF"/>
    <w:rsid w:val="00B129E1"/>
    <w:rsid w:val="00B12D1B"/>
    <w:rsid w:val="00B12F9C"/>
    <w:rsid w:val="00B13055"/>
    <w:rsid w:val="00B14D96"/>
    <w:rsid w:val="00B150BE"/>
    <w:rsid w:val="00B1536E"/>
    <w:rsid w:val="00B158E7"/>
    <w:rsid w:val="00B16C4E"/>
    <w:rsid w:val="00B17E12"/>
    <w:rsid w:val="00B2071F"/>
    <w:rsid w:val="00B21E74"/>
    <w:rsid w:val="00B254D0"/>
    <w:rsid w:val="00B255D6"/>
    <w:rsid w:val="00B27033"/>
    <w:rsid w:val="00B276CA"/>
    <w:rsid w:val="00B278E2"/>
    <w:rsid w:val="00B31577"/>
    <w:rsid w:val="00B32F37"/>
    <w:rsid w:val="00B3478B"/>
    <w:rsid w:val="00B35977"/>
    <w:rsid w:val="00B360D8"/>
    <w:rsid w:val="00B36C3B"/>
    <w:rsid w:val="00B37341"/>
    <w:rsid w:val="00B37495"/>
    <w:rsid w:val="00B37591"/>
    <w:rsid w:val="00B37721"/>
    <w:rsid w:val="00B37EC6"/>
    <w:rsid w:val="00B40BC4"/>
    <w:rsid w:val="00B42E4E"/>
    <w:rsid w:val="00B43193"/>
    <w:rsid w:val="00B43744"/>
    <w:rsid w:val="00B439F2"/>
    <w:rsid w:val="00B43CAB"/>
    <w:rsid w:val="00B44174"/>
    <w:rsid w:val="00B456AB"/>
    <w:rsid w:val="00B4593E"/>
    <w:rsid w:val="00B472D5"/>
    <w:rsid w:val="00B5054F"/>
    <w:rsid w:val="00B51F0E"/>
    <w:rsid w:val="00B54109"/>
    <w:rsid w:val="00B55DE0"/>
    <w:rsid w:val="00B5654B"/>
    <w:rsid w:val="00B617C1"/>
    <w:rsid w:val="00B61890"/>
    <w:rsid w:val="00B62107"/>
    <w:rsid w:val="00B625AD"/>
    <w:rsid w:val="00B62902"/>
    <w:rsid w:val="00B649E8"/>
    <w:rsid w:val="00B673FB"/>
    <w:rsid w:val="00B67F12"/>
    <w:rsid w:val="00B70B48"/>
    <w:rsid w:val="00B70B68"/>
    <w:rsid w:val="00B70DEA"/>
    <w:rsid w:val="00B70E7E"/>
    <w:rsid w:val="00B71540"/>
    <w:rsid w:val="00B7349D"/>
    <w:rsid w:val="00B7403C"/>
    <w:rsid w:val="00B74D77"/>
    <w:rsid w:val="00B75863"/>
    <w:rsid w:val="00B7695C"/>
    <w:rsid w:val="00B77BD4"/>
    <w:rsid w:val="00B823A1"/>
    <w:rsid w:val="00B82D64"/>
    <w:rsid w:val="00B84E08"/>
    <w:rsid w:val="00B85886"/>
    <w:rsid w:val="00B86F37"/>
    <w:rsid w:val="00B87374"/>
    <w:rsid w:val="00B87950"/>
    <w:rsid w:val="00B92970"/>
    <w:rsid w:val="00B92A20"/>
    <w:rsid w:val="00B92BEF"/>
    <w:rsid w:val="00B9475B"/>
    <w:rsid w:val="00B96A28"/>
    <w:rsid w:val="00B9740D"/>
    <w:rsid w:val="00B97A7B"/>
    <w:rsid w:val="00BA0BC8"/>
    <w:rsid w:val="00BA120B"/>
    <w:rsid w:val="00BA1984"/>
    <w:rsid w:val="00BA1FC9"/>
    <w:rsid w:val="00BA2BEF"/>
    <w:rsid w:val="00BA2D0F"/>
    <w:rsid w:val="00BA3316"/>
    <w:rsid w:val="00BA36D9"/>
    <w:rsid w:val="00BA3A10"/>
    <w:rsid w:val="00BA3BE2"/>
    <w:rsid w:val="00BA5252"/>
    <w:rsid w:val="00BA59EE"/>
    <w:rsid w:val="00BA5D73"/>
    <w:rsid w:val="00BA6116"/>
    <w:rsid w:val="00BA671E"/>
    <w:rsid w:val="00BA699B"/>
    <w:rsid w:val="00BA6AF3"/>
    <w:rsid w:val="00BA6ECB"/>
    <w:rsid w:val="00BA7D22"/>
    <w:rsid w:val="00BA7F9B"/>
    <w:rsid w:val="00BB0BBA"/>
    <w:rsid w:val="00BB0C40"/>
    <w:rsid w:val="00BB1181"/>
    <w:rsid w:val="00BB21A6"/>
    <w:rsid w:val="00BB233B"/>
    <w:rsid w:val="00BB366E"/>
    <w:rsid w:val="00BB3C22"/>
    <w:rsid w:val="00BB7E97"/>
    <w:rsid w:val="00BC0076"/>
    <w:rsid w:val="00BC045A"/>
    <w:rsid w:val="00BC0F78"/>
    <w:rsid w:val="00BC1249"/>
    <w:rsid w:val="00BC15BF"/>
    <w:rsid w:val="00BC1676"/>
    <w:rsid w:val="00BC1E50"/>
    <w:rsid w:val="00BC2360"/>
    <w:rsid w:val="00BC237C"/>
    <w:rsid w:val="00BC2892"/>
    <w:rsid w:val="00BC2B8F"/>
    <w:rsid w:val="00BC3407"/>
    <w:rsid w:val="00BC3649"/>
    <w:rsid w:val="00BC438C"/>
    <w:rsid w:val="00BC44AC"/>
    <w:rsid w:val="00BC5A2A"/>
    <w:rsid w:val="00BC7499"/>
    <w:rsid w:val="00BC79F3"/>
    <w:rsid w:val="00BD0276"/>
    <w:rsid w:val="00BD3C4D"/>
    <w:rsid w:val="00BD43C4"/>
    <w:rsid w:val="00BD51B6"/>
    <w:rsid w:val="00BD52E0"/>
    <w:rsid w:val="00BD57B1"/>
    <w:rsid w:val="00BD5A0F"/>
    <w:rsid w:val="00BD69E5"/>
    <w:rsid w:val="00BD72DD"/>
    <w:rsid w:val="00BD7523"/>
    <w:rsid w:val="00BD7974"/>
    <w:rsid w:val="00BE025A"/>
    <w:rsid w:val="00BE22EB"/>
    <w:rsid w:val="00BE23E7"/>
    <w:rsid w:val="00BE2CE7"/>
    <w:rsid w:val="00BE3F41"/>
    <w:rsid w:val="00BE7E6E"/>
    <w:rsid w:val="00BF0919"/>
    <w:rsid w:val="00BF09AE"/>
    <w:rsid w:val="00BF23D3"/>
    <w:rsid w:val="00BF285C"/>
    <w:rsid w:val="00BF5236"/>
    <w:rsid w:val="00BF5868"/>
    <w:rsid w:val="00BF5C7E"/>
    <w:rsid w:val="00BF60E2"/>
    <w:rsid w:val="00BF6504"/>
    <w:rsid w:val="00BF7441"/>
    <w:rsid w:val="00BF749B"/>
    <w:rsid w:val="00C00201"/>
    <w:rsid w:val="00C01A50"/>
    <w:rsid w:val="00C02EA6"/>
    <w:rsid w:val="00C035C8"/>
    <w:rsid w:val="00C03768"/>
    <w:rsid w:val="00C04BF7"/>
    <w:rsid w:val="00C05F7F"/>
    <w:rsid w:val="00C06335"/>
    <w:rsid w:val="00C07B19"/>
    <w:rsid w:val="00C12518"/>
    <w:rsid w:val="00C126DF"/>
    <w:rsid w:val="00C143AF"/>
    <w:rsid w:val="00C149B8"/>
    <w:rsid w:val="00C15F4B"/>
    <w:rsid w:val="00C165E5"/>
    <w:rsid w:val="00C168AC"/>
    <w:rsid w:val="00C17915"/>
    <w:rsid w:val="00C17DB1"/>
    <w:rsid w:val="00C17F3C"/>
    <w:rsid w:val="00C22D66"/>
    <w:rsid w:val="00C23750"/>
    <w:rsid w:val="00C24478"/>
    <w:rsid w:val="00C247E7"/>
    <w:rsid w:val="00C25930"/>
    <w:rsid w:val="00C25EA5"/>
    <w:rsid w:val="00C26030"/>
    <w:rsid w:val="00C268CE"/>
    <w:rsid w:val="00C26DA1"/>
    <w:rsid w:val="00C30EA7"/>
    <w:rsid w:val="00C3287C"/>
    <w:rsid w:val="00C33111"/>
    <w:rsid w:val="00C3336D"/>
    <w:rsid w:val="00C352E9"/>
    <w:rsid w:val="00C35451"/>
    <w:rsid w:val="00C35E9F"/>
    <w:rsid w:val="00C369E6"/>
    <w:rsid w:val="00C40C93"/>
    <w:rsid w:val="00C41602"/>
    <w:rsid w:val="00C43E9C"/>
    <w:rsid w:val="00C44E9F"/>
    <w:rsid w:val="00C451C5"/>
    <w:rsid w:val="00C46B49"/>
    <w:rsid w:val="00C47B55"/>
    <w:rsid w:val="00C51265"/>
    <w:rsid w:val="00C520DF"/>
    <w:rsid w:val="00C5271C"/>
    <w:rsid w:val="00C527E2"/>
    <w:rsid w:val="00C53366"/>
    <w:rsid w:val="00C53A00"/>
    <w:rsid w:val="00C54B2B"/>
    <w:rsid w:val="00C54B94"/>
    <w:rsid w:val="00C550DB"/>
    <w:rsid w:val="00C555F7"/>
    <w:rsid w:val="00C55A29"/>
    <w:rsid w:val="00C568DB"/>
    <w:rsid w:val="00C60246"/>
    <w:rsid w:val="00C6055D"/>
    <w:rsid w:val="00C61125"/>
    <w:rsid w:val="00C6125B"/>
    <w:rsid w:val="00C61474"/>
    <w:rsid w:val="00C64D3C"/>
    <w:rsid w:val="00C64E71"/>
    <w:rsid w:val="00C66594"/>
    <w:rsid w:val="00C66C42"/>
    <w:rsid w:val="00C66CC2"/>
    <w:rsid w:val="00C67C90"/>
    <w:rsid w:val="00C706EB"/>
    <w:rsid w:val="00C72040"/>
    <w:rsid w:val="00C7289F"/>
    <w:rsid w:val="00C7336C"/>
    <w:rsid w:val="00C74530"/>
    <w:rsid w:val="00C76C80"/>
    <w:rsid w:val="00C77167"/>
    <w:rsid w:val="00C77574"/>
    <w:rsid w:val="00C77BBB"/>
    <w:rsid w:val="00C77DC4"/>
    <w:rsid w:val="00C80370"/>
    <w:rsid w:val="00C803E3"/>
    <w:rsid w:val="00C8078F"/>
    <w:rsid w:val="00C80B2F"/>
    <w:rsid w:val="00C81845"/>
    <w:rsid w:val="00C82825"/>
    <w:rsid w:val="00C84D9F"/>
    <w:rsid w:val="00C8559A"/>
    <w:rsid w:val="00C85FBD"/>
    <w:rsid w:val="00C87857"/>
    <w:rsid w:val="00C87D84"/>
    <w:rsid w:val="00C92CCA"/>
    <w:rsid w:val="00C93550"/>
    <w:rsid w:val="00C93C85"/>
    <w:rsid w:val="00C945AB"/>
    <w:rsid w:val="00C96A50"/>
    <w:rsid w:val="00CA1972"/>
    <w:rsid w:val="00CA210D"/>
    <w:rsid w:val="00CA21DE"/>
    <w:rsid w:val="00CA24FD"/>
    <w:rsid w:val="00CA4507"/>
    <w:rsid w:val="00CA5732"/>
    <w:rsid w:val="00CA5F7E"/>
    <w:rsid w:val="00CA684E"/>
    <w:rsid w:val="00CB1244"/>
    <w:rsid w:val="00CB1C93"/>
    <w:rsid w:val="00CB30F2"/>
    <w:rsid w:val="00CB59D9"/>
    <w:rsid w:val="00CC11F5"/>
    <w:rsid w:val="00CC1ED6"/>
    <w:rsid w:val="00CC25CC"/>
    <w:rsid w:val="00CC3124"/>
    <w:rsid w:val="00CC3864"/>
    <w:rsid w:val="00CC534A"/>
    <w:rsid w:val="00CC69E4"/>
    <w:rsid w:val="00CC72CA"/>
    <w:rsid w:val="00CC798B"/>
    <w:rsid w:val="00CD0C1A"/>
    <w:rsid w:val="00CD1B46"/>
    <w:rsid w:val="00CD35B3"/>
    <w:rsid w:val="00CD4279"/>
    <w:rsid w:val="00CD5A8D"/>
    <w:rsid w:val="00CD672C"/>
    <w:rsid w:val="00CD6A57"/>
    <w:rsid w:val="00CD71EF"/>
    <w:rsid w:val="00CE00BF"/>
    <w:rsid w:val="00CE1455"/>
    <w:rsid w:val="00CE2AC7"/>
    <w:rsid w:val="00CE332F"/>
    <w:rsid w:val="00CE496A"/>
    <w:rsid w:val="00CE52B9"/>
    <w:rsid w:val="00CE5C9B"/>
    <w:rsid w:val="00CE5D3E"/>
    <w:rsid w:val="00CE6876"/>
    <w:rsid w:val="00CE6C6D"/>
    <w:rsid w:val="00CE6E8E"/>
    <w:rsid w:val="00CE7284"/>
    <w:rsid w:val="00CF151D"/>
    <w:rsid w:val="00CF2072"/>
    <w:rsid w:val="00CF309B"/>
    <w:rsid w:val="00CF3D6A"/>
    <w:rsid w:val="00CF460A"/>
    <w:rsid w:val="00CF5658"/>
    <w:rsid w:val="00CF6136"/>
    <w:rsid w:val="00CF64CA"/>
    <w:rsid w:val="00CF6C3B"/>
    <w:rsid w:val="00CF7B4F"/>
    <w:rsid w:val="00CF7D18"/>
    <w:rsid w:val="00D00A88"/>
    <w:rsid w:val="00D011FE"/>
    <w:rsid w:val="00D01581"/>
    <w:rsid w:val="00D01880"/>
    <w:rsid w:val="00D01C67"/>
    <w:rsid w:val="00D024DA"/>
    <w:rsid w:val="00D031CC"/>
    <w:rsid w:val="00D04D6A"/>
    <w:rsid w:val="00D04FFB"/>
    <w:rsid w:val="00D0759D"/>
    <w:rsid w:val="00D07702"/>
    <w:rsid w:val="00D113D7"/>
    <w:rsid w:val="00D11820"/>
    <w:rsid w:val="00D12AB1"/>
    <w:rsid w:val="00D15A6E"/>
    <w:rsid w:val="00D15B25"/>
    <w:rsid w:val="00D16070"/>
    <w:rsid w:val="00D16BBE"/>
    <w:rsid w:val="00D17BED"/>
    <w:rsid w:val="00D20B0D"/>
    <w:rsid w:val="00D21952"/>
    <w:rsid w:val="00D22791"/>
    <w:rsid w:val="00D22CAB"/>
    <w:rsid w:val="00D23668"/>
    <w:rsid w:val="00D24E51"/>
    <w:rsid w:val="00D258B2"/>
    <w:rsid w:val="00D26571"/>
    <w:rsid w:val="00D26B6F"/>
    <w:rsid w:val="00D30D8F"/>
    <w:rsid w:val="00D32870"/>
    <w:rsid w:val="00D33CC7"/>
    <w:rsid w:val="00D34B73"/>
    <w:rsid w:val="00D40010"/>
    <w:rsid w:val="00D42B26"/>
    <w:rsid w:val="00D42CD2"/>
    <w:rsid w:val="00D4466F"/>
    <w:rsid w:val="00D44F13"/>
    <w:rsid w:val="00D463FC"/>
    <w:rsid w:val="00D47F8F"/>
    <w:rsid w:val="00D50E9A"/>
    <w:rsid w:val="00D5157E"/>
    <w:rsid w:val="00D52208"/>
    <w:rsid w:val="00D53E01"/>
    <w:rsid w:val="00D54081"/>
    <w:rsid w:val="00D54892"/>
    <w:rsid w:val="00D57592"/>
    <w:rsid w:val="00D601BE"/>
    <w:rsid w:val="00D6029D"/>
    <w:rsid w:val="00D6171A"/>
    <w:rsid w:val="00D62A06"/>
    <w:rsid w:val="00D62C30"/>
    <w:rsid w:val="00D62DDA"/>
    <w:rsid w:val="00D6336E"/>
    <w:rsid w:val="00D636E1"/>
    <w:rsid w:val="00D639B0"/>
    <w:rsid w:val="00D64029"/>
    <w:rsid w:val="00D6408C"/>
    <w:rsid w:val="00D64E6C"/>
    <w:rsid w:val="00D65544"/>
    <w:rsid w:val="00D655D0"/>
    <w:rsid w:val="00D656DA"/>
    <w:rsid w:val="00D667CD"/>
    <w:rsid w:val="00D703F0"/>
    <w:rsid w:val="00D71A49"/>
    <w:rsid w:val="00D71E21"/>
    <w:rsid w:val="00D728EB"/>
    <w:rsid w:val="00D74712"/>
    <w:rsid w:val="00D763F4"/>
    <w:rsid w:val="00D76815"/>
    <w:rsid w:val="00D76AC0"/>
    <w:rsid w:val="00D76BA7"/>
    <w:rsid w:val="00D77AB9"/>
    <w:rsid w:val="00D81D80"/>
    <w:rsid w:val="00D82017"/>
    <w:rsid w:val="00D82100"/>
    <w:rsid w:val="00D855C0"/>
    <w:rsid w:val="00D85673"/>
    <w:rsid w:val="00D86383"/>
    <w:rsid w:val="00D86EA8"/>
    <w:rsid w:val="00D87258"/>
    <w:rsid w:val="00D8783C"/>
    <w:rsid w:val="00D87BE3"/>
    <w:rsid w:val="00D87E27"/>
    <w:rsid w:val="00D902A0"/>
    <w:rsid w:val="00D90691"/>
    <w:rsid w:val="00D924AF"/>
    <w:rsid w:val="00D92E0B"/>
    <w:rsid w:val="00D93226"/>
    <w:rsid w:val="00D937A7"/>
    <w:rsid w:val="00D93D23"/>
    <w:rsid w:val="00D9576B"/>
    <w:rsid w:val="00D95A8A"/>
    <w:rsid w:val="00D963A0"/>
    <w:rsid w:val="00D97198"/>
    <w:rsid w:val="00DA3135"/>
    <w:rsid w:val="00DA34C9"/>
    <w:rsid w:val="00DA3891"/>
    <w:rsid w:val="00DA3AD7"/>
    <w:rsid w:val="00DA4367"/>
    <w:rsid w:val="00DA49D6"/>
    <w:rsid w:val="00DA6961"/>
    <w:rsid w:val="00DA72CA"/>
    <w:rsid w:val="00DA785E"/>
    <w:rsid w:val="00DA7B60"/>
    <w:rsid w:val="00DA7F57"/>
    <w:rsid w:val="00DA7FCA"/>
    <w:rsid w:val="00DB1BB8"/>
    <w:rsid w:val="00DB2A04"/>
    <w:rsid w:val="00DB2B6E"/>
    <w:rsid w:val="00DB300C"/>
    <w:rsid w:val="00DB3178"/>
    <w:rsid w:val="00DB38D5"/>
    <w:rsid w:val="00DB3D37"/>
    <w:rsid w:val="00DB58E1"/>
    <w:rsid w:val="00DB609D"/>
    <w:rsid w:val="00DB636E"/>
    <w:rsid w:val="00DB7595"/>
    <w:rsid w:val="00DB7AA8"/>
    <w:rsid w:val="00DC12D9"/>
    <w:rsid w:val="00DC1930"/>
    <w:rsid w:val="00DC2BDD"/>
    <w:rsid w:val="00DC2E5E"/>
    <w:rsid w:val="00DC3013"/>
    <w:rsid w:val="00DC3102"/>
    <w:rsid w:val="00DC3F94"/>
    <w:rsid w:val="00DC48E8"/>
    <w:rsid w:val="00DC5D07"/>
    <w:rsid w:val="00DC6EC7"/>
    <w:rsid w:val="00DC7AE6"/>
    <w:rsid w:val="00DD0F97"/>
    <w:rsid w:val="00DD1178"/>
    <w:rsid w:val="00DD1611"/>
    <w:rsid w:val="00DD1B9D"/>
    <w:rsid w:val="00DD2FDC"/>
    <w:rsid w:val="00DD383A"/>
    <w:rsid w:val="00DD64F5"/>
    <w:rsid w:val="00DD7138"/>
    <w:rsid w:val="00DD7AD6"/>
    <w:rsid w:val="00DE0118"/>
    <w:rsid w:val="00DE09F4"/>
    <w:rsid w:val="00DE0D9F"/>
    <w:rsid w:val="00DE19CF"/>
    <w:rsid w:val="00DE25EF"/>
    <w:rsid w:val="00DE2657"/>
    <w:rsid w:val="00DE2EC0"/>
    <w:rsid w:val="00DE41F0"/>
    <w:rsid w:val="00DE51D3"/>
    <w:rsid w:val="00DE6F0A"/>
    <w:rsid w:val="00DE7C15"/>
    <w:rsid w:val="00DE7CE0"/>
    <w:rsid w:val="00DF00F3"/>
    <w:rsid w:val="00DF0A12"/>
    <w:rsid w:val="00DF394E"/>
    <w:rsid w:val="00DF426D"/>
    <w:rsid w:val="00DF4831"/>
    <w:rsid w:val="00DF5367"/>
    <w:rsid w:val="00DF6A5A"/>
    <w:rsid w:val="00DF6C98"/>
    <w:rsid w:val="00DF7A75"/>
    <w:rsid w:val="00DF7F92"/>
    <w:rsid w:val="00E005B1"/>
    <w:rsid w:val="00E005BB"/>
    <w:rsid w:val="00E030A4"/>
    <w:rsid w:val="00E0489D"/>
    <w:rsid w:val="00E0681A"/>
    <w:rsid w:val="00E07BBE"/>
    <w:rsid w:val="00E104AC"/>
    <w:rsid w:val="00E105FA"/>
    <w:rsid w:val="00E10BEE"/>
    <w:rsid w:val="00E111DB"/>
    <w:rsid w:val="00E119B8"/>
    <w:rsid w:val="00E12B64"/>
    <w:rsid w:val="00E135EB"/>
    <w:rsid w:val="00E15220"/>
    <w:rsid w:val="00E154C6"/>
    <w:rsid w:val="00E15B3D"/>
    <w:rsid w:val="00E168D1"/>
    <w:rsid w:val="00E16E07"/>
    <w:rsid w:val="00E21B57"/>
    <w:rsid w:val="00E228FB"/>
    <w:rsid w:val="00E232B5"/>
    <w:rsid w:val="00E2447B"/>
    <w:rsid w:val="00E24789"/>
    <w:rsid w:val="00E24B12"/>
    <w:rsid w:val="00E2701D"/>
    <w:rsid w:val="00E27CB6"/>
    <w:rsid w:val="00E27D9B"/>
    <w:rsid w:val="00E3173E"/>
    <w:rsid w:val="00E317D2"/>
    <w:rsid w:val="00E3250C"/>
    <w:rsid w:val="00E32F6B"/>
    <w:rsid w:val="00E32FC4"/>
    <w:rsid w:val="00E34893"/>
    <w:rsid w:val="00E34DD8"/>
    <w:rsid w:val="00E37292"/>
    <w:rsid w:val="00E37604"/>
    <w:rsid w:val="00E40DD2"/>
    <w:rsid w:val="00E41411"/>
    <w:rsid w:val="00E41806"/>
    <w:rsid w:val="00E41B2A"/>
    <w:rsid w:val="00E42237"/>
    <w:rsid w:val="00E42F5D"/>
    <w:rsid w:val="00E43B3B"/>
    <w:rsid w:val="00E4454A"/>
    <w:rsid w:val="00E4596E"/>
    <w:rsid w:val="00E4741B"/>
    <w:rsid w:val="00E47769"/>
    <w:rsid w:val="00E50039"/>
    <w:rsid w:val="00E50778"/>
    <w:rsid w:val="00E50D5F"/>
    <w:rsid w:val="00E5141B"/>
    <w:rsid w:val="00E51576"/>
    <w:rsid w:val="00E51DBA"/>
    <w:rsid w:val="00E52370"/>
    <w:rsid w:val="00E52A73"/>
    <w:rsid w:val="00E53C88"/>
    <w:rsid w:val="00E55ACE"/>
    <w:rsid w:val="00E560C8"/>
    <w:rsid w:val="00E5621C"/>
    <w:rsid w:val="00E57C64"/>
    <w:rsid w:val="00E60912"/>
    <w:rsid w:val="00E60925"/>
    <w:rsid w:val="00E60CBE"/>
    <w:rsid w:val="00E6151B"/>
    <w:rsid w:val="00E62A3C"/>
    <w:rsid w:val="00E62ACE"/>
    <w:rsid w:val="00E63340"/>
    <w:rsid w:val="00E634BA"/>
    <w:rsid w:val="00E63B33"/>
    <w:rsid w:val="00E63CA7"/>
    <w:rsid w:val="00E63F3A"/>
    <w:rsid w:val="00E64D87"/>
    <w:rsid w:val="00E664AC"/>
    <w:rsid w:val="00E67296"/>
    <w:rsid w:val="00E67EB6"/>
    <w:rsid w:val="00E71F8C"/>
    <w:rsid w:val="00E72A68"/>
    <w:rsid w:val="00E771D9"/>
    <w:rsid w:val="00E816B9"/>
    <w:rsid w:val="00E82DC9"/>
    <w:rsid w:val="00E8333B"/>
    <w:rsid w:val="00E84AC9"/>
    <w:rsid w:val="00E84ADF"/>
    <w:rsid w:val="00E8547A"/>
    <w:rsid w:val="00E860BD"/>
    <w:rsid w:val="00E86382"/>
    <w:rsid w:val="00E864ED"/>
    <w:rsid w:val="00E8662D"/>
    <w:rsid w:val="00E903F7"/>
    <w:rsid w:val="00E91D54"/>
    <w:rsid w:val="00E91F59"/>
    <w:rsid w:val="00E920AA"/>
    <w:rsid w:val="00E924E9"/>
    <w:rsid w:val="00E928E6"/>
    <w:rsid w:val="00E92B09"/>
    <w:rsid w:val="00E9357C"/>
    <w:rsid w:val="00E9387E"/>
    <w:rsid w:val="00E93927"/>
    <w:rsid w:val="00E95095"/>
    <w:rsid w:val="00E973E1"/>
    <w:rsid w:val="00EA0008"/>
    <w:rsid w:val="00EA0AEC"/>
    <w:rsid w:val="00EA0ECC"/>
    <w:rsid w:val="00EA1D14"/>
    <w:rsid w:val="00EA2382"/>
    <w:rsid w:val="00EA281C"/>
    <w:rsid w:val="00EA33A7"/>
    <w:rsid w:val="00EA3797"/>
    <w:rsid w:val="00EA3AE0"/>
    <w:rsid w:val="00EA44FC"/>
    <w:rsid w:val="00EA559E"/>
    <w:rsid w:val="00EA5CD4"/>
    <w:rsid w:val="00EA615F"/>
    <w:rsid w:val="00EA6543"/>
    <w:rsid w:val="00EA6B89"/>
    <w:rsid w:val="00EA6D84"/>
    <w:rsid w:val="00EA765C"/>
    <w:rsid w:val="00EB06A3"/>
    <w:rsid w:val="00EB0887"/>
    <w:rsid w:val="00EB255C"/>
    <w:rsid w:val="00EB3328"/>
    <w:rsid w:val="00EB49F2"/>
    <w:rsid w:val="00EB4B11"/>
    <w:rsid w:val="00EB673C"/>
    <w:rsid w:val="00EB67A4"/>
    <w:rsid w:val="00EB6E2C"/>
    <w:rsid w:val="00EC2D82"/>
    <w:rsid w:val="00EC2EAE"/>
    <w:rsid w:val="00EC38F0"/>
    <w:rsid w:val="00EC463D"/>
    <w:rsid w:val="00EC4DF2"/>
    <w:rsid w:val="00EC512B"/>
    <w:rsid w:val="00EC7E2B"/>
    <w:rsid w:val="00ED1182"/>
    <w:rsid w:val="00ED1AF8"/>
    <w:rsid w:val="00ED269A"/>
    <w:rsid w:val="00ED2CED"/>
    <w:rsid w:val="00ED44EA"/>
    <w:rsid w:val="00ED4F5C"/>
    <w:rsid w:val="00ED5356"/>
    <w:rsid w:val="00ED5450"/>
    <w:rsid w:val="00ED6F7A"/>
    <w:rsid w:val="00EE1CDC"/>
    <w:rsid w:val="00EE1D10"/>
    <w:rsid w:val="00EE2164"/>
    <w:rsid w:val="00EE2AB2"/>
    <w:rsid w:val="00EE35C2"/>
    <w:rsid w:val="00EE38C5"/>
    <w:rsid w:val="00EE4407"/>
    <w:rsid w:val="00EE47E4"/>
    <w:rsid w:val="00EE4A52"/>
    <w:rsid w:val="00EE4D02"/>
    <w:rsid w:val="00EE55B0"/>
    <w:rsid w:val="00EE5651"/>
    <w:rsid w:val="00EE7C31"/>
    <w:rsid w:val="00EF078A"/>
    <w:rsid w:val="00EF3DFB"/>
    <w:rsid w:val="00EF3EF5"/>
    <w:rsid w:val="00EF3FB5"/>
    <w:rsid w:val="00EF462D"/>
    <w:rsid w:val="00EF4888"/>
    <w:rsid w:val="00EF4C04"/>
    <w:rsid w:val="00EF4F04"/>
    <w:rsid w:val="00EF69A8"/>
    <w:rsid w:val="00F00566"/>
    <w:rsid w:val="00F011E9"/>
    <w:rsid w:val="00F01275"/>
    <w:rsid w:val="00F02E7D"/>
    <w:rsid w:val="00F03D84"/>
    <w:rsid w:val="00F05746"/>
    <w:rsid w:val="00F05BB9"/>
    <w:rsid w:val="00F064AC"/>
    <w:rsid w:val="00F070F7"/>
    <w:rsid w:val="00F1174D"/>
    <w:rsid w:val="00F1249C"/>
    <w:rsid w:val="00F13FC5"/>
    <w:rsid w:val="00F14421"/>
    <w:rsid w:val="00F164A9"/>
    <w:rsid w:val="00F16BD6"/>
    <w:rsid w:val="00F17169"/>
    <w:rsid w:val="00F174E9"/>
    <w:rsid w:val="00F175F8"/>
    <w:rsid w:val="00F23091"/>
    <w:rsid w:val="00F23BCC"/>
    <w:rsid w:val="00F23CEB"/>
    <w:rsid w:val="00F2633C"/>
    <w:rsid w:val="00F26928"/>
    <w:rsid w:val="00F27830"/>
    <w:rsid w:val="00F27D2D"/>
    <w:rsid w:val="00F27F79"/>
    <w:rsid w:val="00F30098"/>
    <w:rsid w:val="00F30469"/>
    <w:rsid w:val="00F31A02"/>
    <w:rsid w:val="00F31ABB"/>
    <w:rsid w:val="00F32B26"/>
    <w:rsid w:val="00F347B3"/>
    <w:rsid w:val="00F3606F"/>
    <w:rsid w:val="00F40C28"/>
    <w:rsid w:val="00F4126E"/>
    <w:rsid w:val="00F41486"/>
    <w:rsid w:val="00F4186D"/>
    <w:rsid w:val="00F422D8"/>
    <w:rsid w:val="00F42395"/>
    <w:rsid w:val="00F42413"/>
    <w:rsid w:val="00F43080"/>
    <w:rsid w:val="00F430B0"/>
    <w:rsid w:val="00F43D79"/>
    <w:rsid w:val="00F44A9B"/>
    <w:rsid w:val="00F4582C"/>
    <w:rsid w:val="00F46671"/>
    <w:rsid w:val="00F47976"/>
    <w:rsid w:val="00F5085C"/>
    <w:rsid w:val="00F51AD0"/>
    <w:rsid w:val="00F51E33"/>
    <w:rsid w:val="00F51F31"/>
    <w:rsid w:val="00F52904"/>
    <w:rsid w:val="00F54D75"/>
    <w:rsid w:val="00F55CD5"/>
    <w:rsid w:val="00F55DAA"/>
    <w:rsid w:val="00F561AF"/>
    <w:rsid w:val="00F563B9"/>
    <w:rsid w:val="00F5640B"/>
    <w:rsid w:val="00F56514"/>
    <w:rsid w:val="00F613AE"/>
    <w:rsid w:val="00F616F6"/>
    <w:rsid w:val="00F62619"/>
    <w:rsid w:val="00F62DD2"/>
    <w:rsid w:val="00F62F23"/>
    <w:rsid w:val="00F63049"/>
    <w:rsid w:val="00F64401"/>
    <w:rsid w:val="00F646C0"/>
    <w:rsid w:val="00F64898"/>
    <w:rsid w:val="00F64C0A"/>
    <w:rsid w:val="00F66074"/>
    <w:rsid w:val="00F6641D"/>
    <w:rsid w:val="00F666BE"/>
    <w:rsid w:val="00F67176"/>
    <w:rsid w:val="00F70232"/>
    <w:rsid w:val="00F707D4"/>
    <w:rsid w:val="00F70F88"/>
    <w:rsid w:val="00F724C5"/>
    <w:rsid w:val="00F72EA4"/>
    <w:rsid w:val="00F739A0"/>
    <w:rsid w:val="00F7404F"/>
    <w:rsid w:val="00F752B6"/>
    <w:rsid w:val="00F761D8"/>
    <w:rsid w:val="00F76209"/>
    <w:rsid w:val="00F8190B"/>
    <w:rsid w:val="00F83138"/>
    <w:rsid w:val="00F83A51"/>
    <w:rsid w:val="00F83B5D"/>
    <w:rsid w:val="00F85441"/>
    <w:rsid w:val="00F85F27"/>
    <w:rsid w:val="00F902C2"/>
    <w:rsid w:val="00F905D9"/>
    <w:rsid w:val="00F90E91"/>
    <w:rsid w:val="00F90FC0"/>
    <w:rsid w:val="00F90FE8"/>
    <w:rsid w:val="00F9183F"/>
    <w:rsid w:val="00F91965"/>
    <w:rsid w:val="00F91A93"/>
    <w:rsid w:val="00F92924"/>
    <w:rsid w:val="00F93533"/>
    <w:rsid w:val="00F95D32"/>
    <w:rsid w:val="00F960FA"/>
    <w:rsid w:val="00F975EC"/>
    <w:rsid w:val="00F97FFA"/>
    <w:rsid w:val="00FA020B"/>
    <w:rsid w:val="00FA0738"/>
    <w:rsid w:val="00FA133E"/>
    <w:rsid w:val="00FA14CA"/>
    <w:rsid w:val="00FA19CE"/>
    <w:rsid w:val="00FA24CD"/>
    <w:rsid w:val="00FA2D53"/>
    <w:rsid w:val="00FA311E"/>
    <w:rsid w:val="00FA508B"/>
    <w:rsid w:val="00FA5FD7"/>
    <w:rsid w:val="00FB15EE"/>
    <w:rsid w:val="00FB18F8"/>
    <w:rsid w:val="00FB335C"/>
    <w:rsid w:val="00FB346A"/>
    <w:rsid w:val="00FB3DE0"/>
    <w:rsid w:val="00FB61D2"/>
    <w:rsid w:val="00FB7F7D"/>
    <w:rsid w:val="00FC1023"/>
    <w:rsid w:val="00FC11E3"/>
    <w:rsid w:val="00FC1A69"/>
    <w:rsid w:val="00FC3D58"/>
    <w:rsid w:val="00FC4391"/>
    <w:rsid w:val="00FC4ACD"/>
    <w:rsid w:val="00FC53F5"/>
    <w:rsid w:val="00FC6331"/>
    <w:rsid w:val="00FC68CF"/>
    <w:rsid w:val="00FC6E93"/>
    <w:rsid w:val="00FD1FF0"/>
    <w:rsid w:val="00FD2772"/>
    <w:rsid w:val="00FD3777"/>
    <w:rsid w:val="00FD3ECB"/>
    <w:rsid w:val="00FD3F10"/>
    <w:rsid w:val="00FD467C"/>
    <w:rsid w:val="00FD46A0"/>
    <w:rsid w:val="00FD46DD"/>
    <w:rsid w:val="00FD564E"/>
    <w:rsid w:val="00FD5740"/>
    <w:rsid w:val="00FD6555"/>
    <w:rsid w:val="00FD6F1C"/>
    <w:rsid w:val="00FD7FF3"/>
    <w:rsid w:val="00FE01BD"/>
    <w:rsid w:val="00FE0247"/>
    <w:rsid w:val="00FE2033"/>
    <w:rsid w:val="00FE218D"/>
    <w:rsid w:val="00FE2794"/>
    <w:rsid w:val="00FE30BC"/>
    <w:rsid w:val="00FE31DF"/>
    <w:rsid w:val="00FE3FCA"/>
    <w:rsid w:val="00FE4E2C"/>
    <w:rsid w:val="00FE5061"/>
    <w:rsid w:val="00FE5CD2"/>
    <w:rsid w:val="00FE7229"/>
    <w:rsid w:val="00FE7ED0"/>
    <w:rsid w:val="00FF06FC"/>
    <w:rsid w:val="00FF2270"/>
    <w:rsid w:val="00FF23F6"/>
    <w:rsid w:val="00FF279F"/>
    <w:rsid w:val="00FF2924"/>
    <w:rsid w:val="00FF3542"/>
    <w:rsid w:val="00FF358A"/>
    <w:rsid w:val="00FF36CB"/>
    <w:rsid w:val="00FF3DEF"/>
    <w:rsid w:val="00FF473F"/>
    <w:rsid w:val="00FF79F2"/>
    <w:rsid w:val="0C0A093C"/>
    <w:rsid w:val="0E260984"/>
    <w:rsid w:val="0F1B3897"/>
    <w:rsid w:val="131154F0"/>
    <w:rsid w:val="144813FA"/>
    <w:rsid w:val="188E7E63"/>
    <w:rsid w:val="1BF964FA"/>
    <w:rsid w:val="22C76A9F"/>
    <w:rsid w:val="24290AE3"/>
    <w:rsid w:val="28CA642A"/>
    <w:rsid w:val="28E65873"/>
    <w:rsid w:val="2A7B1A1D"/>
    <w:rsid w:val="2F161E0D"/>
    <w:rsid w:val="2F806CBC"/>
    <w:rsid w:val="30B12E3D"/>
    <w:rsid w:val="31581B51"/>
    <w:rsid w:val="378365C0"/>
    <w:rsid w:val="37E0590F"/>
    <w:rsid w:val="38057C75"/>
    <w:rsid w:val="3CE84F39"/>
    <w:rsid w:val="3D936875"/>
    <w:rsid w:val="3E80785E"/>
    <w:rsid w:val="4023605D"/>
    <w:rsid w:val="422247A0"/>
    <w:rsid w:val="481039F9"/>
    <w:rsid w:val="48390A7E"/>
    <w:rsid w:val="4840005F"/>
    <w:rsid w:val="492A719C"/>
    <w:rsid w:val="4B90322E"/>
    <w:rsid w:val="4C3A6B73"/>
    <w:rsid w:val="51983F1E"/>
    <w:rsid w:val="523315B6"/>
    <w:rsid w:val="55D21270"/>
    <w:rsid w:val="55F81F79"/>
    <w:rsid w:val="5B223AB9"/>
    <w:rsid w:val="5BC349EC"/>
    <w:rsid w:val="5F795ED8"/>
    <w:rsid w:val="65D3654F"/>
    <w:rsid w:val="68F57A6E"/>
    <w:rsid w:val="6B487516"/>
    <w:rsid w:val="73952CB2"/>
    <w:rsid w:val="74C55109"/>
    <w:rsid w:val="760321E4"/>
    <w:rsid w:val="76471010"/>
    <w:rsid w:val="7931250E"/>
    <w:rsid w:val="7FB879DB"/>
    <w:rsid w:val="7FF81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2"/>
      <w:szCs w:val="24"/>
      <w:lang w:val="en-US" w:eastAsia="zh-CN" w:bidi="ar-SA"/>
    </w:rPr>
  </w:style>
  <w:style w:type="paragraph" w:styleId="2">
    <w:name w:val="heading 1"/>
    <w:basedOn w:val="1"/>
    <w:next w:val="3"/>
    <w:qFormat/>
    <w:uiPriority w:val="0"/>
    <w:pPr>
      <w:keepNext/>
      <w:keepLines/>
      <w:numPr>
        <w:ilvl w:val="0"/>
        <w:numId w:val="1"/>
      </w:numPr>
      <w:spacing w:before="360" w:after="240" w:line="360" w:lineRule="auto"/>
      <w:jc w:val="left"/>
      <w:outlineLvl w:val="0"/>
    </w:pPr>
    <w:rPr>
      <w:b/>
      <w:bCs/>
      <w:kern w:val="44"/>
      <w:sz w:val="32"/>
      <w:szCs w:val="44"/>
    </w:rPr>
  </w:style>
  <w:style w:type="paragraph" w:styleId="4">
    <w:name w:val="heading 2"/>
    <w:basedOn w:val="1"/>
    <w:next w:val="3"/>
    <w:qFormat/>
    <w:uiPriority w:val="0"/>
    <w:pPr>
      <w:keepNext/>
      <w:keepLines/>
      <w:numPr>
        <w:ilvl w:val="1"/>
        <w:numId w:val="1"/>
      </w:numPr>
      <w:spacing w:before="240" w:after="120" w:line="360" w:lineRule="auto"/>
      <w:jc w:val="left"/>
      <w:outlineLvl w:val="1"/>
    </w:pPr>
    <w:rPr>
      <w:b/>
      <w:bCs/>
      <w:sz w:val="30"/>
      <w:szCs w:val="32"/>
    </w:rPr>
  </w:style>
  <w:style w:type="paragraph" w:styleId="5">
    <w:name w:val="heading 3"/>
    <w:basedOn w:val="1"/>
    <w:next w:val="3"/>
    <w:qFormat/>
    <w:uiPriority w:val="0"/>
    <w:pPr>
      <w:keepNext/>
      <w:keepLines/>
      <w:numPr>
        <w:ilvl w:val="2"/>
        <w:numId w:val="1"/>
      </w:numPr>
      <w:spacing w:before="160" w:after="120" w:line="360" w:lineRule="auto"/>
      <w:jc w:val="left"/>
      <w:outlineLvl w:val="2"/>
    </w:pPr>
    <w:rPr>
      <w:b/>
      <w:bCs/>
      <w:sz w:val="28"/>
      <w:szCs w:val="32"/>
    </w:rPr>
  </w:style>
  <w:style w:type="paragraph" w:styleId="6">
    <w:name w:val="heading 4"/>
    <w:basedOn w:val="1"/>
    <w:next w:val="3"/>
    <w:qFormat/>
    <w:uiPriority w:val="0"/>
    <w:pPr>
      <w:keepNext/>
      <w:keepLines/>
      <w:numPr>
        <w:ilvl w:val="3"/>
        <w:numId w:val="1"/>
      </w:numPr>
      <w:spacing w:before="120" w:line="360" w:lineRule="auto"/>
      <w:jc w:val="left"/>
      <w:outlineLvl w:val="3"/>
    </w:pPr>
    <w:rPr>
      <w:b/>
      <w:bCs/>
      <w:sz w:val="24"/>
      <w:szCs w:val="28"/>
    </w:rPr>
  </w:style>
  <w:style w:type="paragraph" w:styleId="7">
    <w:name w:val="heading 5"/>
    <w:basedOn w:val="1"/>
    <w:next w:val="3"/>
    <w:qFormat/>
    <w:uiPriority w:val="0"/>
    <w:pPr>
      <w:keepNext/>
      <w:keepLines/>
      <w:numPr>
        <w:ilvl w:val="4"/>
        <w:numId w:val="1"/>
      </w:numPr>
      <w:spacing w:before="120" w:line="360" w:lineRule="auto"/>
      <w:jc w:val="left"/>
      <w:outlineLvl w:val="4"/>
    </w:pPr>
    <w:rPr>
      <w:b/>
      <w:bCs/>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文（首行缩进2字符）"/>
    <w:basedOn w:val="1"/>
    <w:qFormat/>
    <w:uiPriority w:val="0"/>
    <w:pPr>
      <w:spacing w:line="300" w:lineRule="auto"/>
      <w:ind w:firstLine="440" w:firstLineChars="200"/>
    </w:pPr>
    <w:rPr>
      <w:szCs w:val="22"/>
    </w:rPr>
  </w:style>
  <w:style w:type="paragraph" w:styleId="8">
    <w:name w:val="caption"/>
    <w:basedOn w:val="1"/>
    <w:next w:val="3"/>
    <w:qFormat/>
    <w:uiPriority w:val="0"/>
    <w:pPr>
      <w:tabs>
        <w:tab w:val="center" w:pos="4161"/>
        <w:tab w:val="right" w:pos="8322"/>
      </w:tabs>
      <w:spacing w:before="120" w:after="240"/>
      <w:jc w:val="center"/>
    </w:pPr>
    <w:rPr>
      <w:rFonts w:ascii="Arial" w:hAnsi="Arial" w:eastAsia="黑体" w:cs="Arial"/>
      <w:szCs w:val="20"/>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rPr>
      <w:sz w:val="21"/>
    </w:rPr>
  </w:style>
  <w:style w:type="paragraph" w:styleId="13">
    <w:name w:val="toc 3"/>
    <w:basedOn w:val="1"/>
    <w:next w:val="1"/>
    <w:qFormat/>
    <w:uiPriority w:val="39"/>
    <w:pPr>
      <w:spacing w:line="360" w:lineRule="exact"/>
      <w:ind w:firstLine="660" w:firstLineChars="300"/>
    </w:pPr>
    <w:rPr>
      <w:i/>
      <w:sz w:val="21"/>
    </w:rPr>
  </w:style>
  <w:style w:type="paragraph" w:styleId="14">
    <w:name w:val="Balloon Text"/>
    <w:basedOn w:val="1"/>
    <w:semiHidden/>
    <w:qFormat/>
    <w:uiPriority w:val="0"/>
    <w:rPr>
      <w:sz w:val="18"/>
      <w:szCs w:val="18"/>
    </w:rPr>
  </w:style>
  <w:style w:type="paragraph" w:styleId="15">
    <w:name w:val="footer"/>
    <w:basedOn w:val="1"/>
    <w:link w:val="28"/>
    <w:qFormat/>
    <w:uiPriority w:val="99"/>
    <w:pPr>
      <w:tabs>
        <w:tab w:val="center" w:pos="4153"/>
        <w:tab w:val="right" w:pos="8306"/>
      </w:tabs>
      <w:snapToGrid w:val="0"/>
      <w:jc w:val="center"/>
    </w:pPr>
    <w:rPr>
      <w:sz w:val="18"/>
      <w:szCs w:val="18"/>
    </w:rPr>
  </w:style>
  <w:style w:type="paragraph" w:styleId="16">
    <w:name w:val="header"/>
    <w:basedOn w:val="1"/>
    <w:qFormat/>
    <w:uiPriority w:val="0"/>
    <w:pPr>
      <w:pBdr>
        <w:bottom w:val="single" w:color="auto" w:sz="6" w:space="1"/>
      </w:pBdr>
      <w:tabs>
        <w:tab w:val="center" w:pos="4150"/>
        <w:tab w:val="right" w:pos="8324"/>
      </w:tabs>
      <w:snapToGrid w:val="0"/>
      <w:jc w:val="center"/>
    </w:pPr>
    <w:rPr>
      <w:rFonts w:eastAsia="幼圆"/>
      <w:sz w:val="21"/>
      <w:szCs w:val="18"/>
    </w:rPr>
  </w:style>
  <w:style w:type="paragraph" w:styleId="17">
    <w:name w:val="toc 1"/>
    <w:basedOn w:val="1"/>
    <w:next w:val="1"/>
    <w:qFormat/>
    <w:uiPriority w:val="39"/>
    <w:pPr>
      <w:tabs>
        <w:tab w:val="right" w:leader="dot" w:pos="8302"/>
      </w:tabs>
      <w:spacing w:line="360" w:lineRule="exact"/>
    </w:pPr>
    <w:rPr>
      <w:rFonts w:asciiTheme="minorEastAsia" w:hAnsiTheme="minorEastAsia" w:eastAsiaTheme="minorEastAsia"/>
      <w:b/>
      <w:sz w:val="21"/>
      <w:szCs w:val="21"/>
      <w:lang w:val="zh-CN"/>
    </w:rPr>
  </w:style>
  <w:style w:type="paragraph" w:styleId="18">
    <w:name w:val="table of figures"/>
    <w:basedOn w:val="1"/>
    <w:next w:val="1"/>
    <w:semiHidden/>
    <w:qFormat/>
    <w:uiPriority w:val="0"/>
    <w:pPr>
      <w:tabs>
        <w:tab w:val="right" w:leader="dot" w:pos="8302"/>
      </w:tabs>
    </w:pPr>
    <w:rPr>
      <w:sz w:val="21"/>
    </w:rPr>
  </w:style>
  <w:style w:type="paragraph" w:styleId="19">
    <w:name w:val="toc 2"/>
    <w:basedOn w:val="1"/>
    <w:next w:val="1"/>
    <w:qFormat/>
    <w:uiPriority w:val="39"/>
    <w:pPr>
      <w:spacing w:line="360" w:lineRule="exact"/>
      <w:ind w:firstLine="420"/>
    </w:pPr>
    <w:rPr>
      <w:sz w:val="21"/>
    </w:rPr>
  </w:style>
  <w:style w:type="paragraph" w:styleId="20">
    <w:name w:val="Body Text 2"/>
    <w:basedOn w:val="1"/>
    <w:qFormat/>
    <w:uiPriority w:val="0"/>
    <w:pPr>
      <w:spacing w:after="120" w:line="480" w:lineRule="auto"/>
    </w:pPr>
  </w:style>
  <w:style w:type="paragraph" w:styleId="21">
    <w:name w:val="annotation subject"/>
    <w:basedOn w:val="10"/>
    <w:next w:val="10"/>
    <w:semiHidden/>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800080"/>
      <w:u w:val="single"/>
    </w:rPr>
  </w:style>
  <w:style w:type="character" w:styleId="26">
    <w:name w:val="Hyperlink"/>
    <w:basedOn w:val="24"/>
    <w:qFormat/>
    <w:uiPriority w:val="99"/>
    <w:rPr>
      <w:color w:val="0000FF"/>
      <w:u w:val="single"/>
    </w:rPr>
  </w:style>
  <w:style w:type="character" w:styleId="27">
    <w:name w:val="annotation reference"/>
    <w:basedOn w:val="24"/>
    <w:semiHidden/>
    <w:qFormat/>
    <w:uiPriority w:val="0"/>
    <w:rPr>
      <w:sz w:val="21"/>
      <w:szCs w:val="21"/>
    </w:rPr>
  </w:style>
  <w:style w:type="character" w:customStyle="1" w:styleId="28">
    <w:name w:val="页脚 字符"/>
    <w:basedOn w:val="24"/>
    <w:link w:val="15"/>
    <w:qFormat/>
    <w:uiPriority w:val="99"/>
    <w:rPr>
      <w:kern w:val="2"/>
      <w:sz w:val="18"/>
      <w:szCs w:val="18"/>
    </w:rPr>
  </w:style>
  <w:style w:type="paragraph" w:customStyle="1" w:styleId="29">
    <w:name w:val="正文序列编号"/>
    <w:basedOn w:val="1"/>
    <w:qFormat/>
    <w:uiPriority w:val="0"/>
    <w:pPr>
      <w:numPr>
        <w:ilvl w:val="0"/>
        <w:numId w:val="2"/>
      </w:numPr>
      <w:spacing w:before="48" w:after="48"/>
    </w:pPr>
  </w:style>
  <w:style w:type="paragraph" w:customStyle="1" w:styleId="30">
    <w:name w:val="正文序列符号"/>
    <w:basedOn w:val="1"/>
    <w:link w:val="31"/>
    <w:qFormat/>
    <w:uiPriority w:val="0"/>
    <w:pPr>
      <w:numPr>
        <w:ilvl w:val="0"/>
        <w:numId w:val="3"/>
      </w:numPr>
      <w:spacing w:line="300" w:lineRule="auto"/>
    </w:pPr>
  </w:style>
  <w:style w:type="character" w:customStyle="1" w:styleId="31">
    <w:name w:val="正文序列符号 Char"/>
    <w:basedOn w:val="24"/>
    <w:link w:val="30"/>
    <w:qFormat/>
    <w:uiPriority w:val="0"/>
    <w:rPr>
      <w:kern w:val="2"/>
      <w:sz w:val="22"/>
      <w:szCs w:val="24"/>
    </w:rPr>
  </w:style>
  <w:style w:type="character" w:customStyle="1" w:styleId="32">
    <w:name w:val="提示文字 Char"/>
    <w:basedOn w:val="24"/>
    <w:link w:val="33"/>
    <w:qFormat/>
    <w:uiPriority w:val="0"/>
    <w:rPr>
      <w:rFonts w:eastAsia="宋体"/>
      <w:i/>
      <w:color w:val="0000FF"/>
      <w:kern w:val="2"/>
      <w:sz w:val="22"/>
      <w:szCs w:val="24"/>
      <w:lang w:val="en-US" w:eastAsia="zh-CN" w:bidi="ar-SA"/>
    </w:rPr>
  </w:style>
  <w:style w:type="paragraph" w:customStyle="1" w:styleId="33">
    <w:name w:val="提示文字"/>
    <w:basedOn w:val="1"/>
    <w:next w:val="3"/>
    <w:link w:val="32"/>
    <w:qFormat/>
    <w:uiPriority w:val="0"/>
    <w:pPr>
      <w:spacing w:line="300" w:lineRule="auto"/>
      <w:ind w:firstLine="440" w:firstLineChars="200"/>
    </w:pPr>
    <w:rPr>
      <w:i/>
      <w:color w:val="0000FF"/>
    </w:rPr>
  </w:style>
  <w:style w:type="paragraph" w:customStyle="1" w:styleId="34">
    <w:name w:val="封面公司名称"/>
    <w:basedOn w:val="1"/>
    <w:next w:val="3"/>
    <w:qFormat/>
    <w:uiPriority w:val="0"/>
    <w:pPr>
      <w:spacing w:before="62" w:after="62"/>
      <w:jc w:val="center"/>
    </w:pPr>
    <w:rPr>
      <w:b/>
      <w:sz w:val="28"/>
    </w:rPr>
  </w:style>
  <w:style w:type="paragraph" w:customStyle="1" w:styleId="35">
    <w:name w:val="封面签注"/>
    <w:basedOn w:val="1"/>
    <w:next w:val="3"/>
    <w:qFormat/>
    <w:uiPriority w:val="0"/>
    <w:pPr>
      <w:jc w:val="center"/>
    </w:pPr>
    <w:rPr>
      <w:b/>
      <w:sz w:val="24"/>
    </w:rPr>
  </w:style>
  <w:style w:type="paragraph" w:customStyle="1" w:styleId="36">
    <w:name w:val="封面文档标题"/>
    <w:basedOn w:val="1"/>
    <w:next w:val="3"/>
    <w:qFormat/>
    <w:uiPriority w:val="0"/>
    <w:pPr>
      <w:spacing w:line="360" w:lineRule="auto"/>
      <w:jc w:val="center"/>
      <w:outlineLvl w:val="0"/>
    </w:pPr>
    <w:rPr>
      <w:b/>
      <w:sz w:val="56"/>
    </w:rPr>
  </w:style>
  <w:style w:type="paragraph" w:customStyle="1" w:styleId="37">
    <w:name w:val="修订记录/目录"/>
    <w:basedOn w:val="1"/>
    <w:next w:val="3"/>
    <w:qFormat/>
    <w:uiPriority w:val="0"/>
    <w:pPr>
      <w:spacing w:beforeLines="100" w:line="360" w:lineRule="auto"/>
      <w:jc w:val="center"/>
      <w:outlineLvl w:val="0"/>
    </w:pPr>
    <w:rPr>
      <w:b/>
      <w:bCs/>
      <w:sz w:val="32"/>
    </w:rPr>
  </w:style>
  <w:style w:type="paragraph" w:customStyle="1" w:styleId="38">
    <w:name w:val="表格文字（居中）"/>
    <w:basedOn w:val="39"/>
    <w:qFormat/>
    <w:uiPriority w:val="0"/>
    <w:pPr>
      <w:jc w:val="center"/>
    </w:pPr>
  </w:style>
  <w:style w:type="paragraph" w:customStyle="1" w:styleId="39">
    <w:name w:val="表格文字"/>
    <w:basedOn w:val="1"/>
    <w:next w:val="3"/>
    <w:qFormat/>
    <w:uiPriority w:val="0"/>
    <w:pPr>
      <w:jc w:val="left"/>
    </w:pPr>
    <w:rPr>
      <w:bCs/>
      <w:sz w:val="21"/>
    </w:rPr>
  </w:style>
  <w:style w:type="paragraph" w:customStyle="1" w:styleId="40">
    <w:name w:val="正文标题"/>
    <w:basedOn w:val="1"/>
    <w:qFormat/>
    <w:uiPriority w:val="0"/>
    <w:pPr>
      <w:spacing w:beforeLines="50" w:afterLines="150"/>
      <w:jc w:val="center"/>
      <w:outlineLvl w:val="0"/>
    </w:pPr>
    <w:rPr>
      <w:rFonts w:cs="宋体"/>
      <w:b/>
      <w:bCs/>
      <w:sz w:val="36"/>
      <w:szCs w:val="20"/>
    </w:rPr>
  </w:style>
  <w:style w:type="paragraph" w:customStyle="1" w:styleId="41">
    <w:name w:val="程序代码"/>
    <w:basedOn w:val="1"/>
    <w:qFormat/>
    <w:uiPriority w:val="0"/>
    <w:pPr>
      <w:wordWrap w:val="0"/>
      <w:jc w:val="left"/>
    </w:pPr>
    <w:rPr>
      <w:rFonts w:ascii="Courier New" w:hAnsi="Courier New"/>
      <w:sz w:val="21"/>
      <w:szCs w:val="21"/>
    </w:rPr>
  </w:style>
  <w:style w:type="paragraph" w:customStyle="1" w:styleId="42">
    <w:name w:val="缺省文本"/>
    <w:basedOn w:val="1"/>
    <w:qFormat/>
    <w:uiPriority w:val="0"/>
    <w:pPr>
      <w:spacing w:before="62" w:after="62"/>
      <w:jc w:val="center"/>
    </w:pPr>
  </w:style>
  <w:style w:type="paragraph" w:customStyle="1" w:styleId="43">
    <w:name w:val="图"/>
    <w:basedOn w:val="1"/>
    <w:next w:val="8"/>
    <w:qFormat/>
    <w:uiPriority w:val="0"/>
    <w:pPr>
      <w:spacing w:beforeLines="50" w:line="360" w:lineRule="auto"/>
      <w:jc w:val="center"/>
    </w:pPr>
  </w:style>
  <w:style w:type="paragraph" w:customStyle="1" w:styleId="44">
    <w:name w:val="页眉（封面）"/>
    <w:basedOn w:val="16"/>
    <w:qFormat/>
    <w:uiPriority w:val="0"/>
    <w:pPr>
      <w:pBdr>
        <w:bottom w:val="none" w:color="auto" w:sz="0" w:space="0"/>
      </w:pBdr>
    </w:pPr>
  </w:style>
  <w:style w:type="paragraph" w:customStyle="1" w:styleId="45">
    <w:name w:val="表格标题行"/>
    <w:basedOn w:val="1"/>
    <w:qFormat/>
    <w:uiPriority w:val="0"/>
    <w:pPr>
      <w:jc w:val="center"/>
    </w:pPr>
    <w:rPr>
      <w:rFonts w:cs="宋体"/>
      <w:b/>
      <w:bCs/>
      <w:sz w:val="21"/>
      <w:szCs w:val="20"/>
    </w:rPr>
  </w:style>
  <w:style w:type="paragraph" w:customStyle="1" w:styleId="46">
    <w:name w:val="参考文献"/>
    <w:basedOn w:val="1"/>
    <w:qFormat/>
    <w:uiPriority w:val="0"/>
    <w:pPr>
      <w:tabs>
        <w:tab w:val="left" w:pos="600"/>
      </w:tabs>
      <w:ind w:left="600" w:hanging="600"/>
    </w:pPr>
  </w:style>
  <w:style w:type="table" w:customStyle="1" w:styleId="47">
    <w:name w:val="表格边框"/>
    <w:basedOn w:val="22"/>
    <w:qFormat/>
    <w:uiPriority w:val="0"/>
    <w:pPr>
      <w:widowControl w:val="0"/>
      <w:jc w:val="both"/>
    </w:pPr>
    <w:rPr>
      <w:sz w:val="21"/>
    </w:rPr>
    <w:tblPr>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rPr>
      <w:cantSplit/>
      <w:jc w:val="center"/>
    </w:trPr>
    <w:tcPr>
      <w:shd w:val="clear" w:color="auto" w:fill="auto"/>
      <w:vAlign w:val="center"/>
    </w:tcPr>
    <w:tblStylePr w:type="firstRow">
      <w:pPr>
        <w:jc w:val="both"/>
      </w:pPr>
      <w:rPr>
        <w:rFonts w:eastAsia="宋体"/>
        <w:b w:val="0"/>
        <w:sz w:val="21"/>
      </w:rPr>
      <w:tblPr/>
      <w:trPr>
        <w:tblHeader/>
      </w:trPr>
      <w:tcPr>
        <w:tcBorders>
          <w:bottom w:val="single" w:color="auto" w:sz="4" w:space="0"/>
        </w:tcBorders>
      </w:tcPr>
    </w:tblStylePr>
    <w:tblStylePr w:type="lastRow">
      <w:pPr>
        <w:jc w:val="both"/>
      </w:pPr>
      <w:rPr>
        <w:rFonts w:eastAsia="宋体"/>
        <w:b w:val="0"/>
        <w:bCs/>
        <w:sz w:val="21"/>
      </w:rPr>
    </w:tblStylePr>
    <w:tblStylePr w:type="lastCol">
      <w:rPr>
        <w:b w:val="0"/>
        <w:bCs/>
      </w:rPr>
      <w:tcPr>
        <w:tcBorders>
          <w:tl2br w:val="nil"/>
          <w:tr2bl w:val="nil"/>
        </w:tcBorders>
      </w:tcPr>
    </w:tblStylePr>
    <w:tblStylePr w:type="nwCell">
      <w:tcPr>
        <w:tcBorders>
          <w:tl2br w:val="single" w:color="000000" w:sz="6" w:space="0"/>
          <w:tr2bl w:val="nil"/>
        </w:tcBorders>
      </w:tcPr>
    </w:tblStylePr>
  </w:style>
  <w:style w:type="paragraph" w:customStyle="1" w:styleId="48">
    <w:name w:val="摘要/关键词"/>
    <w:basedOn w:val="1"/>
    <w:qFormat/>
    <w:uiPriority w:val="0"/>
    <w:pPr>
      <w:spacing w:before="120" w:line="300" w:lineRule="auto"/>
    </w:pPr>
    <w:rPr>
      <w:sz w:val="21"/>
    </w:rPr>
  </w:style>
  <w:style w:type="paragraph" w:customStyle="1" w:styleId="49">
    <w:name w:val="Char"/>
    <w:basedOn w:val="1"/>
    <w:qFormat/>
    <w:uiPriority w:val="0"/>
    <w:pPr>
      <w:spacing w:line="360" w:lineRule="auto"/>
      <w:ind w:left="420"/>
      <w:textAlignment w:val="baseline"/>
    </w:pPr>
    <w:rPr>
      <w:sz w:val="21"/>
    </w:rPr>
  </w:style>
  <w:style w:type="paragraph" w:customStyle="1" w:styleId="50">
    <w:name w:val="附录4"/>
    <w:basedOn w:val="6"/>
    <w:next w:val="3"/>
    <w:qFormat/>
    <w:uiPriority w:val="0"/>
    <w:pPr>
      <w:keepLines w:val="0"/>
      <w:numPr>
        <w:ilvl w:val="0"/>
        <w:numId w:val="0"/>
      </w:numPr>
    </w:pPr>
  </w:style>
  <w:style w:type="paragraph" w:customStyle="1" w:styleId="51">
    <w:name w:val="附录3"/>
    <w:basedOn w:val="5"/>
    <w:next w:val="3"/>
    <w:qFormat/>
    <w:uiPriority w:val="0"/>
    <w:pPr>
      <w:numPr>
        <w:ilvl w:val="0"/>
        <w:numId w:val="0"/>
      </w:numPr>
    </w:pPr>
  </w:style>
  <w:style w:type="paragraph" w:customStyle="1" w:styleId="52">
    <w:name w:val="附录1"/>
    <w:basedOn w:val="2"/>
    <w:next w:val="3"/>
    <w:qFormat/>
    <w:uiPriority w:val="0"/>
    <w:pPr>
      <w:pageBreakBefore/>
      <w:widowControl/>
      <w:numPr>
        <w:numId w:val="0"/>
      </w:numPr>
      <w:adjustRightInd w:val="0"/>
      <w:snapToGrid w:val="0"/>
      <w:jc w:val="center"/>
    </w:pPr>
    <w:rPr>
      <w:szCs w:val="32"/>
    </w:rPr>
  </w:style>
  <w:style w:type="paragraph" w:customStyle="1" w:styleId="53">
    <w:name w:val="附录2"/>
    <w:basedOn w:val="4"/>
    <w:next w:val="3"/>
    <w:qFormat/>
    <w:uiPriority w:val="0"/>
    <w:pPr>
      <w:numPr>
        <w:ilvl w:val="0"/>
        <w:numId w:val="0"/>
      </w:numPr>
    </w:pPr>
  </w:style>
  <w:style w:type="paragraph" w:customStyle="1" w:styleId="54">
    <w:name w:val="附录5"/>
    <w:basedOn w:val="7"/>
    <w:next w:val="3"/>
    <w:qFormat/>
    <w:uiPriority w:val="0"/>
    <w:pPr>
      <w:numPr>
        <w:ilvl w:val="0"/>
        <w:numId w:val="0"/>
      </w:numPr>
    </w:pPr>
  </w:style>
  <w:style w:type="paragraph" w:customStyle="1" w:styleId="55">
    <w:name w:val="附录序列号（1）"/>
    <w:basedOn w:val="1"/>
    <w:qFormat/>
    <w:uiPriority w:val="0"/>
    <w:pPr>
      <w:tabs>
        <w:tab w:val="left" w:pos="0"/>
        <w:tab w:val="left" w:pos="1026"/>
      </w:tabs>
      <w:spacing w:line="300" w:lineRule="auto"/>
      <w:jc w:val="left"/>
    </w:pPr>
  </w:style>
  <w:style w:type="paragraph" w:customStyle="1" w:styleId="56">
    <w:name w:val="协议流程说明"/>
    <w:basedOn w:val="1"/>
    <w:qFormat/>
    <w:uiPriority w:val="0"/>
    <w:pPr>
      <w:tabs>
        <w:tab w:val="left" w:pos="992"/>
      </w:tabs>
      <w:ind w:left="992" w:hanging="552"/>
    </w:pPr>
  </w:style>
  <w:style w:type="paragraph" w:customStyle="1" w:styleId="57">
    <w:name w:val="小标题"/>
    <w:basedOn w:val="1"/>
    <w:qFormat/>
    <w:uiPriority w:val="0"/>
    <w:pPr>
      <w:jc w:val="center"/>
    </w:pPr>
    <w:rPr>
      <w:rFonts w:ascii="隶书" w:eastAsia="隶书"/>
      <w:b/>
      <w:bCs/>
      <w:sz w:val="30"/>
    </w:rPr>
  </w:style>
  <w:style w:type="paragraph" w:customStyle="1" w:styleId="58">
    <w:name w:val="Char Char1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59">
    <w:name w:val="段"/>
    <w:link w:val="60"/>
    <w:qFormat/>
    <w:uiPriority w:val="0"/>
    <w:pPr>
      <w:autoSpaceDE w:val="0"/>
      <w:autoSpaceDN w:val="0"/>
      <w:ind w:firstLine="200"/>
      <w:jc w:val="both"/>
    </w:pPr>
    <w:rPr>
      <w:rFonts w:ascii="宋体" w:hAnsi="Times New Roman" w:eastAsia="宋体" w:cs="Times New Roman"/>
      <w:sz w:val="21"/>
      <w:lang w:val="en-US" w:eastAsia="en-US" w:bidi="ar-SA"/>
    </w:rPr>
  </w:style>
  <w:style w:type="character" w:customStyle="1" w:styleId="60">
    <w:name w:val="段 Char"/>
    <w:link w:val="59"/>
    <w:qFormat/>
    <w:uiPriority w:val="0"/>
    <w:rPr>
      <w:rFonts w:ascii="宋体"/>
      <w:sz w:val="21"/>
      <w:lang w:eastAsia="en-US"/>
    </w:rPr>
  </w:style>
  <w:style w:type="paragraph" w:customStyle="1" w:styleId="61">
    <w:name w:val="QB正文"/>
    <w:basedOn w:val="59"/>
    <w:qFormat/>
    <w:uiPriority w:val="0"/>
    <w:pPr>
      <w:ind w:firstLineChars="200"/>
    </w:pPr>
    <w:rPr>
      <w:lang w:eastAsia="zh-CN"/>
    </w:rPr>
  </w:style>
  <w:style w:type="paragraph" w:customStyle="1" w:styleId="62">
    <w:name w:val="QB表"/>
    <w:basedOn w:val="61"/>
    <w:next w:val="61"/>
    <w:qFormat/>
    <w:uiPriority w:val="0"/>
    <w:pPr>
      <w:ind w:left="1276" w:hanging="1276" w:firstLineChars="0"/>
      <w:jc w:val="center"/>
    </w:pPr>
  </w:style>
  <w:style w:type="paragraph" w:customStyle="1" w:styleId="63">
    <w:name w:val="QB表内文字"/>
    <w:basedOn w:val="59"/>
    <w:qFormat/>
    <w:uiPriority w:val="0"/>
    <w:pPr>
      <w:widowControl w:val="0"/>
      <w:ind w:firstLine="0"/>
    </w:pPr>
    <w:rPr>
      <w:lang w:eastAsia="zh-CN"/>
    </w:rPr>
  </w:style>
  <w:style w:type="paragraph" w:customStyle="1" w:styleId="64">
    <w:name w:val="封面抬头标题"/>
    <w:basedOn w:val="20"/>
    <w:qFormat/>
    <w:uiPriority w:val="0"/>
    <w:pPr>
      <w:spacing w:after="0" w:line="240" w:lineRule="auto"/>
    </w:pPr>
    <w:rPr>
      <w:rFonts w:eastAsia="黑体"/>
      <w:b/>
      <w:bCs/>
      <w:spacing w:val="160"/>
      <w:sz w:val="52"/>
    </w:rPr>
  </w:style>
  <w:style w:type="paragraph" w:customStyle="1" w:styleId="65">
    <w:name w:val="标准编号"/>
    <w:basedOn w:val="1"/>
    <w:qFormat/>
    <w:uiPriority w:val="0"/>
    <w:pPr>
      <w:jc w:val="center"/>
    </w:pPr>
    <w:rPr>
      <w:rFonts w:ascii="黑体" w:eastAsia="黑体"/>
      <w:b/>
      <w:bCs/>
      <w:sz w:val="30"/>
    </w:rPr>
  </w:style>
  <w:style w:type="paragraph" w:customStyle="1" w:styleId="66">
    <w:name w:val="封面中文名称"/>
    <w:basedOn w:val="11"/>
    <w:qFormat/>
    <w:uiPriority w:val="0"/>
    <w:pPr>
      <w:jc w:val="center"/>
    </w:pPr>
    <w:rPr>
      <w:rFonts w:ascii="黑体" w:eastAsia="黑体"/>
      <w:b/>
      <w:spacing w:val="80"/>
      <w:sz w:val="44"/>
    </w:rPr>
  </w:style>
  <w:style w:type="paragraph" w:customStyle="1" w:styleId="67">
    <w:name w:val="封面英文名称"/>
    <w:basedOn w:val="11"/>
    <w:qFormat/>
    <w:uiPriority w:val="0"/>
    <w:pPr>
      <w:jc w:val="center"/>
    </w:pPr>
    <w:rPr>
      <w:rFonts w:ascii="黑体"/>
      <w:b/>
      <w:spacing w:val="60"/>
      <w:sz w:val="28"/>
    </w:rPr>
  </w:style>
  <w:style w:type="paragraph" w:customStyle="1" w:styleId="68">
    <w:name w:val="封面版本号"/>
    <w:basedOn w:val="20"/>
    <w:qFormat/>
    <w:uiPriority w:val="0"/>
    <w:pPr>
      <w:spacing w:after="0" w:line="240" w:lineRule="auto"/>
      <w:jc w:val="center"/>
    </w:pPr>
    <w:rPr>
      <w:rFonts w:ascii="黑体" w:eastAsia="黑体"/>
      <w:b/>
      <w:spacing w:val="40"/>
      <w:sz w:val="24"/>
    </w:rPr>
  </w:style>
  <w:style w:type="paragraph" w:customStyle="1" w:styleId="69">
    <w:name w:val="发布实施"/>
    <w:basedOn w:val="68"/>
    <w:qFormat/>
    <w:uiPriority w:val="0"/>
  </w:style>
  <w:style w:type="paragraph" w:customStyle="1" w:styleId="70">
    <w:name w:val="标题4"/>
    <w:basedOn w:val="1"/>
    <w:qFormat/>
    <w:uiPriority w:val="0"/>
    <w:rPr>
      <w:b/>
      <w:bCs/>
      <w:i/>
      <w:iCs/>
      <w:sz w:val="21"/>
    </w:rPr>
  </w:style>
  <w:style w:type="paragraph" w:customStyle="1" w:styleId="71">
    <w:name w:val="QB标题1"/>
    <w:basedOn w:val="2"/>
    <w:qFormat/>
    <w:uiPriority w:val="0"/>
    <w:pPr>
      <w:numPr>
        <w:numId w:val="0"/>
      </w:numPr>
      <w:tabs>
        <w:tab w:val="left" w:pos="425"/>
      </w:tabs>
      <w:spacing w:before="340" w:after="330" w:line="578" w:lineRule="auto"/>
      <w:ind w:left="425" w:hanging="425"/>
      <w:jc w:val="both"/>
    </w:pPr>
    <w:rPr>
      <w:rFonts w:ascii="黑体" w:eastAsia="黑体"/>
      <w:b w:val="0"/>
      <w:sz w:val="21"/>
      <w:szCs w:val="21"/>
    </w:rPr>
  </w:style>
  <w:style w:type="paragraph" w:customStyle="1" w:styleId="72">
    <w:name w:val="表格内文字"/>
    <w:basedOn w:val="1"/>
    <w:link w:val="73"/>
    <w:qFormat/>
    <w:uiPriority w:val="0"/>
    <w:pPr>
      <w:widowControl/>
      <w:spacing w:line="300" w:lineRule="atLeast"/>
    </w:pPr>
    <w:rPr>
      <w:sz w:val="18"/>
      <w:szCs w:val="20"/>
    </w:rPr>
  </w:style>
  <w:style w:type="character" w:customStyle="1" w:styleId="73">
    <w:name w:val="表格内文字 Char"/>
    <w:basedOn w:val="24"/>
    <w:link w:val="72"/>
    <w:qFormat/>
    <w:uiPriority w:val="0"/>
    <w:rPr>
      <w:rFonts w:eastAsia="宋体"/>
      <w:kern w:val="2"/>
      <w:sz w:val="18"/>
      <w:lang w:val="en-US" w:eastAsia="zh-CN" w:bidi="ar-SA"/>
    </w:rPr>
  </w:style>
  <w:style w:type="paragraph" w:customStyle="1" w:styleId="74">
    <w:name w:val="Car Car"/>
    <w:basedOn w:val="1"/>
    <w:semiHidden/>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paragraph" w:customStyle="1" w:styleId="75">
    <w:name w:val="Char Char Char Char"/>
    <w:basedOn w:val="9"/>
    <w:qFormat/>
    <w:uiPriority w:val="0"/>
    <w:pPr>
      <w:adjustRightInd w:val="0"/>
      <w:spacing w:line="436" w:lineRule="exact"/>
      <w:ind w:left="357"/>
      <w:jc w:val="left"/>
      <w:outlineLvl w:val="3"/>
    </w:pPr>
    <w:rPr>
      <w:rFonts w:ascii="Tahoma" w:hAnsi="Tahoma"/>
      <w:b/>
      <w:sz w:val="24"/>
    </w:rPr>
  </w:style>
  <w:style w:type="paragraph" w:customStyle="1" w:styleId="76">
    <w:name w:val="Cell_Text"/>
    <w:basedOn w:val="1"/>
    <w:link w:val="77"/>
    <w:qFormat/>
    <w:uiPriority w:val="0"/>
    <w:pPr>
      <w:autoSpaceDE w:val="0"/>
      <w:autoSpaceDN w:val="0"/>
      <w:adjustRightInd w:val="0"/>
      <w:spacing w:before="80" w:after="80"/>
      <w:ind w:left="510"/>
      <w:jc w:val="left"/>
    </w:pPr>
    <w:rPr>
      <w:rFonts w:ascii="Arial" w:hAnsi="Arial" w:cs="宋体"/>
      <w:kern w:val="0"/>
      <w:sz w:val="21"/>
      <w:szCs w:val="21"/>
    </w:rPr>
  </w:style>
  <w:style w:type="character" w:customStyle="1" w:styleId="77">
    <w:name w:val="Cell_Text Char"/>
    <w:basedOn w:val="24"/>
    <w:link w:val="76"/>
    <w:qFormat/>
    <w:uiPriority w:val="0"/>
    <w:rPr>
      <w:rFonts w:ascii="Arial" w:hAnsi="Arial" w:cs="宋体"/>
      <w:sz w:val="21"/>
      <w:szCs w:val="21"/>
    </w:rPr>
  </w:style>
  <w:style w:type="character" w:customStyle="1" w:styleId="78">
    <w:name w:val="TDContents"/>
    <w:basedOn w:val="24"/>
    <w:qFormat/>
    <w:uiPriority w:val="0"/>
    <w:rPr>
      <w:rFonts w:ascii="Arial" w:hAnsi="Arial"/>
    </w:rPr>
  </w:style>
  <w:style w:type="paragraph" w:customStyle="1" w:styleId="79">
    <w:name w:val="Char Char Char Char Char Char Char Char Char Char Char Char Char"/>
    <w:basedOn w:val="9"/>
    <w:qFormat/>
    <w:uiPriority w:val="0"/>
    <w:pPr>
      <w:adjustRightInd w:val="0"/>
      <w:spacing w:line="436" w:lineRule="exact"/>
      <w:ind w:left="357"/>
      <w:jc w:val="left"/>
      <w:outlineLvl w:val="3"/>
    </w:pPr>
    <w:rPr>
      <w:rFonts w:ascii="Tahoma" w:hAnsi="Tahoma"/>
      <w:b/>
      <w:sz w:val="24"/>
    </w:rPr>
  </w:style>
  <w:style w:type="paragraph" w:customStyle="1" w:styleId="80">
    <w:name w:val="QB标题2"/>
    <w:basedOn w:val="4"/>
    <w:link w:val="81"/>
    <w:qFormat/>
    <w:uiPriority w:val="0"/>
    <w:pPr>
      <w:numPr>
        <w:ilvl w:val="0"/>
        <w:numId w:val="0"/>
      </w:numPr>
      <w:tabs>
        <w:tab w:val="left" w:pos="567"/>
      </w:tabs>
      <w:spacing w:before="260" w:after="260" w:line="416" w:lineRule="auto"/>
      <w:ind w:left="567" w:hanging="567"/>
      <w:jc w:val="both"/>
    </w:pPr>
    <w:rPr>
      <w:rFonts w:ascii="Arial" w:hAnsi="Arial" w:eastAsia="黑体"/>
      <w:b w:val="0"/>
      <w:sz w:val="21"/>
      <w:szCs w:val="21"/>
    </w:rPr>
  </w:style>
  <w:style w:type="character" w:customStyle="1" w:styleId="81">
    <w:name w:val="QB标题2 Char"/>
    <w:basedOn w:val="24"/>
    <w:link w:val="80"/>
    <w:qFormat/>
    <w:uiPriority w:val="0"/>
    <w:rPr>
      <w:rFonts w:ascii="Arial" w:hAnsi="Arial" w:eastAsia="黑体"/>
      <w:bCs/>
      <w:kern w:val="2"/>
      <w:sz w:val="21"/>
      <w:szCs w:val="21"/>
    </w:rPr>
  </w:style>
  <w:style w:type="paragraph" w:customStyle="1" w:styleId="82">
    <w:name w:val="QB标题3"/>
    <w:basedOn w:val="80"/>
    <w:qFormat/>
    <w:uiPriority w:val="0"/>
    <w:pPr>
      <w:tabs>
        <w:tab w:val="left" w:pos="709"/>
        <w:tab w:val="clear" w:pos="567"/>
      </w:tabs>
      <w:spacing w:line="415" w:lineRule="auto"/>
      <w:ind w:right="240"/>
      <w:outlineLvl w:val="2"/>
    </w:pPr>
  </w:style>
  <w:style w:type="paragraph" w:customStyle="1" w:styleId="83">
    <w:name w:val="QB标题4"/>
    <w:basedOn w:val="82"/>
    <w:link w:val="84"/>
    <w:qFormat/>
    <w:uiPriority w:val="0"/>
    <w:pPr>
      <w:tabs>
        <w:tab w:val="left" w:pos="644"/>
        <w:tab w:val="clear" w:pos="709"/>
      </w:tabs>
      <w:ind w:left="644" w:right="0" w:hanging="644"/>
      <w:outlineLvl w:val="3"/>
    </w:pPr>
    <w:rPr>
      <w:kern w:val="0"/>
    </w:rPr>
  </w:style>
  <w:style w:type="character" w:customStyle="1" w:styleId="84">
    <w:name w:val="QB标题4 Char"/>
    <w:basedOn w:val="81"/>
    <w:link w:val="83"/>
    <w:qFormat/>
    <w:uiPriority w:val="0"/>
    <w:rPr>
      <w:rFonts w:ascii="Arial" w:hAnsi="Arial" w:eastAsia="黑体"/>
      <w:kern w:val="2"/>
      <w:sz w:val="21"/>
      <w:szCs w:val="21"/>
    </w:rPr>
  </w:style>
  <w:style w:type="paragraph" w:customStyle="1" w:styleId="85">
    <w:name w:val="QB标题5"/>
    <w:basedOn w:val="83"/>
    <w:qFormat/>
    <w:uiPriority w:val="0"/>
    <w:pPr>
      <w:numPr>
        <w:ilvl w:val="4"/>
      </w:numPr>
      <w:tabs>
        <w:tab w:val="left" w:pos="2100"/>
      </w:tabs>
      <w:ind w:left="2100" w:hanging="420"/>
      <w:outlineLvl w:val="4"/>
    </w:pPr>
  </w:style>
  <w:style w:type="character" w:customStyle="1" w:styleId="86">
    <w:name w:val="文档正文 Char"/>
    <w:link w:val="87"/>
    <w:qFormat/>
    <w:locked/>
    <w:uiPriority w:val="0"/>
    <w:rPr>
      <w:rFonts w:ascii="仿宋_GB2312" w:eastAsia="仿宋_GB2312"/>
      <w:sz w:val="28"/>
      <w:szCs w:val="28"/>
    </w:rPr>
  </w:style>
  <w:style w:type="paragraph" w:customStyle="1" w:styleId="87">
    <w:name w:val="文档正文"/>
    <w:basedOn w:val="1"/>
    <w:link w:val="86"/>
    <w:qFormat/>
    <w:uiPriority w:val="0"/>
    <w:pPr>
      <w:adjustRightInd w:val="0"/>
      <w:spacing w:after="200" w:line="480" w:lineRule="atLeast"/>
      <w:ind w:firstLine="567"/>
    </w:pPr>
    <w:rPr>
      <w:rFonts w:ascii="仿宋_GB2312" w:eastAsia="仿宋_GB2312"/>
      <w:kern w:val="0"/>
      <w:sz w:val="28"/>
      <w:szCs w:val="28"/>
    </w:rPr>
  </w:style>
  <w:style w:type="paragraph" w:customStyle="1" w:styleId="88">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89">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90">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9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92">
    <w:name w:val="封面标准英文名称"/>
    <w:basedOn w:val="91"/>
    <w:qFormat/>
    <w:uiPriority w:val="99"/>
    <w:pPr>
      <w:framePr w:wrap="around"/>
      <w:spacing w:before="370" w:line="400" w:lineRule="exact"/>
    </w:pPr>
    <w:rPr>
      <w:rFonts w:ascii="Times New Roman"/>
      <w:sz w:val="28"/>
      <w:szCs w:val="28"/>
    </w:rPr>
  </w:style>
  <w:style w:type="paragraph" w:customStyle="1" w:styleId="93">
    <w:name w:val="封面标准文稿编辑信息"/>
    <w:basedOn w:val="1"/>
    <w:qFormat/>
    <w:uiPriority w:val="0"/>
    <w:pPr>
      <w:framePr w:w="9639" w:h="6917" w:hRule="exact" w:wrap="around" w:vAnchor="page" w:hAnchor="page" w:xAlign="center" w:y="6408" w:anchorLock="1"/>
      <w:spacing w:before="180" w:after="160" w:line="180" w:lineRule="exact"/>
      <w:jc w:val="center"/>
      <w:textAlignment w:val="center"/>
    </w:pPr>
    <w:rPr>
      <w:rFonts w:ascii="宋体"/>
      <w:kern w:val="0"/>
      <w:sz w:val="21"/>
      <w:szCs w:val="28"/>
    </w:rPr>
  </w:style>
  <w:style w:type="paragraph" w:customStyle="1" w:styleId="94">
    <w:name w:val="其他发布日期"/>
    <w:basedOn w:val="1"/>
    <w:qFormat/>
    <w:uiPriority w:val="0"/>
    <w:pPr>
      <w:framePr w:w="3997" w:h="471" w:hRule="exact" w:vSpace="181" w:wrap="around" w:vAnchor="page" w:hAnchor="text" w:x="1419" w:y="14097" w:anchorLock="1"/>
      <w:widowControl/>
      <w:jc w:val="left"/>
    </w:pPr>
    <w:rPr>
      <w:rFonts w:eastAsia="黑体"/>
      <w:kern w:val="0"/>
      <w:sz w:val="28"/>
      <w:szCs w:val="20"/>
    </w:rPr>
  </w:style>
  <w:style w:type="paragraph" w:customStyle="1" w:styleId="95">
    <w:name w:val="其他实施日期"/>
    <w:basedOn w:val="1"/>
    <w:qFormat/>
    <w:uiPriority w:val="0"/>
    <w:pPr>
      <w:framePr w:w="3997" w:h="471" w:hRule="exact" w:vSpace="181" w:wrap="around" w:vAnchor="page" w:hAnchor="text" w:x="7089" w:y="14097" w:anchorLock="1"/>
      <w:widowControl/>
      <w:jc w:val="right"/>
    </w:pPr>
    <w:rPr>
      <w:rFonts w:eastAsia="黑体"/>
      <w:kern w:val="0"/>
      <w:sz w:val="28"/>
      <w:szCs w:val="20"/>
    </w:rPr>
  </w:style>
  <w:style w:type="character" w:customStyle="1" w:styleId="96">
    <w:name w:val="发布"/>
    <w:qFormat/>
    <w:uiPriority w:val="0"/>
    <w:rPr>
      <w:rFonts w:ascii="黑体" w:eastAsia="黑体"/>
      <w:spacing w:val="85"/>
      <w:w w:val="100"/>
      <w:position w:val="3"/>
      <w:sz w:val="28"/>
      <w:szCs w:val="28"/>
    </w:rPr>
  </w:style>
  <w:style w:type="paragraph" w:customStyle="1" w:styleId="97">
    <w:name w:val="其他发布部门"/>
    <w:basedOn w:val="1"/>
    <w:qFormat/>
    <w:uiPriority w:val="0"/>
    <w:pPr>
      <w:framePr w:w="7938" w:h="1134" w:hRule="exact" w:hSpace="125" w:vSpace="181" w:wrap="around" w:vAnchor="page" w:hAnchor="page" w:x="2150" w:y="15310" w:anchorLock="1"/>
      <w:widowControl/>
      <w:spacing w:line="0" w:lineRule="atLeast"/>
      <w:jc w:val="center"/>
    </w:pPr>
    <w:rPr>
      <w:rFonts w:ascii="黑体" w:eastAsia="黑体"/>
      <w:spacing w:val="20"/>
      <w:w w:val="135"/>
      <w:kern w:val="0"/>
      <w:sz w:val="28"/>
      <w:szCs w:val="20"/>
    </w:rPr>
  </w:style>
  <w:style w:type="paragraph" w:customStyle="1" w:styleId="98">
    <w:name w:val="目次、标准名称标题"/>
    <w:basedOn w:val="1"/>
    <w:next w:val="59"/>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99">
    <w:name w:val="前言、引言标题"/>
    <w:next w:val="59"/>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styleId="100">
    <w:name w:val="List Paragraph"/>
    <w:basedOn w:val="1"/>
    <w:qFormat/>
    <w:uiPriority w:val="34"/>
    <w:pPr>
      <w:ind w:firstLine="420" w:firstLineChars="200"/>
    </w:pPr>
  </w:style>
  <w:style w:type="paragraph" w:customStyle="1" w:styleId="10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102">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18"/>
      <w:szCs w:val="18"/>
    </w:rPr>
  </w:style>
  <w:style w:type="paragraph" w:customStyle="1" w:styleId="103">
    <w:name w:val="xl92"/>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18"/>
      <w:szCs w:val="18"/>
    </w:rPr>
  </w:style>
  <w:style w:type="paragraph" w:customStyle="1" w:styleId="104">
    <w:name w:val="xl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05">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06">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07">
    <w:name w:val="xl96"/>
    <w:basedOn w:val="1"/>
    <w:qFormat/>
    <w:uiPriority w:val="0"/>
    <w:pPr>
      <w:widowControl/>
      <w:spacing w:before="100" w:beforeAutospacing="1" w:after="100" w:afterAutospacing="1"/>
      <w:jc w:val="center"/>
    </w:pPr>
    <w:rPr>
      <w:rFonts w:ascii="宋体" w:hAnsi="宋体" w:cs="宋体"/>
      <w:b/>
      <w:bCs/>
      <w:kern w:val="0"/>
      <w:sz w:val="20"/>
      <w:szCs w:val="20"/>
    </w:rPr>
  </w:style>
  <w:style w:type="paragraph" w:customStyle="1" w:styleId="108">
    <w:name w:val="xl97"/>
    <w:basedOn w:val="1"/>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109">
    <w:name w:val="xl9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110">
    <w:name w:val="xl99"/>
    <w:basedOn w:val="1"/>
    <w:qFormat/>
    <w:uiPriority w:val="0"/>
    <w:pPr>
      <w:widowControl/>
      <w:spacing w:before="100" w:beforeAutospacing="1" w:after="100" w:afterAutospacing="1"/>
      <w:jc w:val="center"/>
    </w:pPr>
    <w:rPr>
      <w:rFonts w:ascii="宋体" w:hAnsi="宋体" w:cs="宋体"/>
      <w:kern w:val="0"/>
      <w:sz w:val="24"/>
    </w:rPr>
  </w:style>
  <w:style w:type="paragraph" w:customStyle="1" w:styleId="111">
    <w:name w:val="xl100"/>
    <w:basedOn w:val="1"/>
    <w:qFormat/>
    <w:uiPriority w:val="0"/>
    <w:pPr>
      <w:widowControl/>
      <w:spacing w:before="100" w:beforeAutospacing="1" w:after="100" w:afterAutospacing="1"/>
      <w:jc w:val="left"/>
    </w:pPr>
    <w:rPr>
      <w:rFonts w:ascii="宋体" w:hAnsi="宋体" w:cs="宋体"/>
      <w:kern w:val="0"/>
      <w:sz w:val="24"/>
    </w:rPr>
  </w:style>
  <w:style w:type="paragraph" w:customStyle="1" w:styleId="112">
    <w:name w:val="xl101"/>
    <w:basedOn w:val="1"/>
    <w:qFormat/>
    <w:uiPriority w:val="0"/>
    <w:pPr>
      <w:widowControl/>
      <w:spacing w:before="100" w:beforeAutospacing="1" w:after="100" w:afterAutospacing="1"/>
      <w:jc w:val="left"/>
    </w:pPr>
    <w:rPr>
      <w:rFonts w:ascii="宋体" w:hAnsi="宋体" w:cs="宋体"/>
      <w:kern w:val="0"/>
      <w:sz w:val="24"/>
    </w:rPr>
  </w:style>
  <w:style w:type="paragraph" w:customStyle="1" w:styleId="113">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14">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5">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6">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7">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8">
    <w:name w:val="xl107"/>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119">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20">
    <w:name w:val="xl109"/>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21">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2">
    <w:name w:val="xl11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23">
    <w:name w:val="xl11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24">
    <w:name w:val="xl11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25">
    <w:name w:val="xl11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6">
    <w:name w:val="xl115"/>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27">
    <w:name w:val="xl11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28">
    <w:name w:val="xl117"/>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129">
    <w:name w:val="xl118"/>
    <w:basedOn w:val="1"/>
    <w:qFormat/>
    <w:uiPriority w:val="0"/>
    <w:pPr>
      <w:widowControl/>
      <w:pBdr>
        <w:left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130">
    <w:name w:val="xl11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131">
    <w:name w:val="xl12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pPr>
    <w:rPr>
      <w:rFonts w:ascii="宋体" w:hAnsi="宋体" w:cs="宋体"/>
      <w:kern w:val="0"/>
      <w:sz w:val="24"/>
    </w:rPr>
  </w:style>
  <w:style w:type="paragraph" w:customStyle="1" w:styleId="132">
    <w:name w:val="xl12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133">
    <w:name w:val="xl122"/>
    <w:basedOn w:val="1"/>
    <w:qFormat/>
    <w:uiPriority w:val="0"/>
    <w:pPr>
      <w:widowControl/>
      <w:pBdr>
        <w:top w:val="single" w:color="000000" w:sz="4" w:space="0"/>
        <w:bottom w:val="single" w:color="000000" w:sz="4" w:space="0"/>
        <w:right w:val="single" w:color="000000" w:sz="4" w:space="0"/>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134">
    <w:name w:val="xl123"/>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center"/>
    </w:pPr>
    <w:rPr>
      <w:rFonts w:ascii="宋体" w:hAnsi="宋体" w:cs="宋体"/>
      <w:color w:val="000000"/>
      <w:kern w:val="0"/>
      <w:sz w:val="18"/>
      <w:szCs w:val="18"/>
    </w:rPr>
  </w:style>
  <w:style w:type="paragraph" w:customStyle="1" w:styleId="135">
    <w:name w:val="xl124"/>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136">
    <w:name w:val="正文-ccsa"/>
    <w:basedOn w:val="1"/>
    <w:qFormat/>
    <w:uiPriority w:val="0"/>
    <w:pPr>
      <w:ind w:left="284" w:firstLine="283" w:firstLineChars="135"/>
    </w:pPr>
    <w:rPr>
      <w:rFonts w:ascii="宋体" w:hAnsi="宋体" w:eastAsia="黑体" w:cs="宋体"/>
    </w:rPr>
  </w:style>
  <w:style w:type="paragraph" w:customStyle="1" w:styleId="137">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8">
    <w:name w:val="xl125"/>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139">
    <w:name w:val="xl126"/>
    <w:basedOn w:val="1"/>
    <w:qFormat/>
    <w:uiPriority w:val="0"/>
    <w:pPr>
      <w:widowControl/>
      <w:pBdr>
        <w:top w:val="single" w:color="auto" w:sz="4" w:space="0"/>
        <w:left w:val="single" w:color="auto" w:sz="4" w:space="0"/>
        <w:right w:val="single" w:color="auto" w:sz="4" w:space="0"/>
      </w:pBdr>
      <w:shd w:val="clear" w:color="000000" w:fill="FFFF00"/>
      <w:spacing w:before="100" w:beforeAutospacing="1" w:after="100" w:afterAutospacing="1"/>
      <w:jc w:val="center"/>
    </w:pPr>
    <w:rPr>
      <w:rFonts w:ascii="宋体" w:hAnsi="宋体" w:cs="宋体"/>
      <w:b/>
      <w:bCs/>
      <w:color w:val="000000"/>
      <w:kern w:val="0"/>
      <w:sz w:val="18"/>
      <w:szCs w:val="18"/>
    </w:rPr>
  </w:style>
  <w:style w:type="paragraph" w:customStyle="1" w:styleId="140">
    <w:name w:val="xl127"/>
    <w:basedOn w:val="1"/>
    <w:qFormat/>
    <w:uiPriority w:val="0"/>
    <w:pPr>
      <w:widowControl/>
      <w:pBdr>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b/>
      <w:bCs/>
      <w:color w:val="000000"/>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rthQjj\Application%20Data\Microsoft\Templates\&#30740;&#21457;&#25991;&#26723;&#26684;&#24335;&#27169;&#26495;V3.0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1"/>
    <customShpInfo spid="_x0000_s1034"/>
    <customShpInfo spid="_x0000_s1033"/>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ADBA70-5C0C-4E07-B1C7-7B3792C08D7F}">
  <ds:schemaRefs/>
</ds:datastoreItem>
</file>

<file path=docProps/app.xml><?xml version="1.0" encoding="utf-8"?>
<Properties xmlns="http://schemas.openxmlformats.org/officeDocument/2006/extended-properties" xmlns:vt="http://schemas.openxmlformats.org/officeDocument/2006/docPropsVTypes">
  <Template>研发文档格式模板V3.00.dot</Template>
  <Company>CMCC R&amp;D</Company>
  <Pages>75</Pages>
  <Words>23612</Words>
  <Characters>105049</Characters>
  <Lines>812</Lines>
  <Paragraphs>228</Paragraphs>
  <TotalTime>1</TotalTime>
  <ScaleCrop>false</ScaleCrop>
  <LinksUpToDate>false</LinksUpToDate>
  <CharactersWithSpaces>106188</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2021-05-18T06:54:00Z</dcterms:created>
  <dc:creator>Eric Wang</dc:creator>
  <cp:lastModifiedBy>王东洋</cp:lastModifiedBy>
  <cp:lastPrinted>2006-08-03T01:19:00Z</cp:lastPrinted>
  <dcterms:modified xsi:type="dcterms:W3CDTF">2022-12-30T08:45:10Z</dcterms:modified>
  <dc:subject>TD-LTE外场测试规范</dc:subject>
  <dc:title>TD-LTE外场测试规范</dc:title>
  <cp:revision>316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1287383644</vt:lpwstr>
  </property>
  <property fmtid="{D5CDD505-2E9C-101B-9397-08002B2CF9AE}" pid="3" name="KSOProductBuildVer">
    <vt:lpwstr>2052-11.8.2.11716</vt:lpwstr>
  </property>
  <property fmtid="{D5CDD505-2E9C-101B-9397-08002B2CF9AE}" pid="4" name="ICV">
    <vt:lpwstr>EB83A7295A554107AAA081878C727D51</vt:lpwstr>
  </property>
</Properties>
</file>