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B24C8E" w:rsidRDefault="00B24C8E"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150 citoyennes et citoyens tirés au sort se réunissent chaque week-end et mettent au point les mesures nécessaires pour rendre notre société soutenable. Comme le montre la </w:t>
      </w:r>
      <w:hyperlink r:id="rId9" w:history="1">
        <w:r>
          <w:rPr>
            <w:rStyle w:val="InternetLink"/>
            <w:rFonts w:ascii="Liberation Serif" w:hAnsi="Liberation Serif"/>
            <w:sz w:val="24"/>
          </w:rPr>
          <w:t>retransmission</w:t>
        </w:r>
      </w:hyperlink>
      <w:r>
        <w:rPr>
          <w:rFonts w:ascii="Liberation Serif" w:eastAsia="Calibri" w:hAnsi="Liberation Serif" w:cs="Calibri"/>
          <w:sz w:val="24"/>
        </w:rPr>
        <w:t xml:space="preserve"> des débats, ces personnes </w:t>
      </w:r>
      <w:r w:rsidR="00D20917">
        <w:rPr>
          <w:rFonts w:ascii="Liberation Serif" w:eastAsia="Calibri" w:hAnsi="Liberation Serif" w:cs="Calibri"/>
          <w:sz w:val="24"/>
        </w:rPr>
        <w:t>effectuent</w:t>
      </w:r>
      <w:r>
        <w:rPr>
          <w:rFonts w:ascii="Liberation Serif" w:eastAsia="Calibri" w:hAnsi="Liberation Serif" w:cs="Calibri"/>
          <w:sz w:val="24"/>
        </w:rPr>
        <w:t xml:space="preserve"> un travail remarquable, prometteur tant pour la transition écologique que pour la démocratisation de l’écriture </w:t>
      </w:r>
      <w:r w:rsidR="00D20917">
        <w:rPr>
          <w:rFonts w:ascii="Liberation Serif" w:eastAsia="Calibri" w:hAnsi="Liberation Serif" w:cs="Calibri"/>
          <w:sz w:val="24"/>
        </w:rPr>
        <w:t xml:space="preserve">des lois. En tant que </w:t>
      </w:r>
      <w:commentRangeStart w:id="0"/>
      <w:r w:rsidR="00D20917">
        <w:rPr>
          <w:rFonts w:ascii="Liberation Serif" w:eastAsia="Calibri" w:hAnsi="Liberation Serif" w:cs="Calibri"/>
          <w:sz w:val="24"/>
        </w:rPr>
        <w:t>chercheur</w:t>
      </w:r>
      <w:r>
        <w:rPr>
          <w:rFonts w:ascii="Liberation Serif" w:eastAsia="Calibri" w:hAnsi="Liberation Serif" w:cs="Calibri"/>
          <w:sz w:val="24"/>
        </w:rPr>
        <w:t xml:space="preserve"> en sciences sociales</w:t>
      </w:r>
      <w:commentRangeEnd w:id="0"/>
      <w:r w:rsidR="00D06289">
        <w:rPr>
          <w:rStyle w:val="CommentReference"/>
          <w:rFonts w:cs="Mangal"/>
        </w:rPr>
        <w:commentReference w:id="0"/>
      </w:r>
      <w:r>
        <w:rPr>
          <w:rFonts w:ascii="Liberation Serif" w:eastAsia="Calibri" w:hAnsi="Liberation Serif" w:cs="Calibri"/>
          <w:sz w:val="24"/>
        </w:rPr>
        <w:t xml:space="preserve">,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D20917">
        <w:rPr>
          <w:rFonts w:ascii="Liberation Serif" w:eastAsia="Calibri" w:hAnsi="Liberation Serif" w:cs="Calibri"/>
          <w:sz w:val="24"/>
        </w:rPr>
        <w:t>analysé</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r w:rsidR="00D20917">
        <w:rPr>
          <w:rFonts w:ascii="Liberation Serif" w:eastAsia="Calibri" w:hAnsi="Liberation Serif" w:cs="Calibri"/>
          <w:sz w:val="24"/>
        </w:rPr>
        <w:t>ce</w:t>
      </w:r>
      <w:r>
        <w:rPr>
          <w:rFonts w:ascii="Liberation Serif" w:eastAsia="Calibri" w:hAnsi="Liberation Serif" w:cs="Calibri"/>
          <w:sz w:val="24"/>
        </w:rPr>
        <w:t xml:space="preserve"> trava</w:t>
      </w:r>
      <w:r w:rsidR="00D20917">
        <w:rPr>
          <w:rFonts w:ascii="Liberation Serif" w:eastAsia="Calibri" w:hAnsi="Liberation Serif" w:cs="Calibri"/>
          <w:sz w:val="24"/>
        </w:rPr>
        <w:t>il</w:t>
      </w:r>
      <w:r>
        <w:rPr>
          <w:rStyle w:val="FootnoteAnchor"/>
          <w:rFonts w:ascii="Liberation Serif" w:eastAsia="Calibri" w:hAnsi="Liberation Serif" w:cs="Calibri"/>
          <w:sz w:val="24"/>
        </w:rPr>
        <w:footnoteReference w:id="1"/>
      </w:r>
      <w:r>
        <w:rPr>
          <w:rFonts w:ascii="Liberation Serif" w:eastAsia="Calibri" w:hAnsi="Liberation Serif" w:cs="Calibri"/>
          <w:sz w:val="24"/>
        </w:rPr>
        <w:t xml:space="preserve"> et en livrant les recommandati</w:t>
      </w:r>
      <w:r w:rsidR="00D20917">
        <w:rPr>
          <w:rFonts w:ascii="Liberation Serif" w:eastAsia="Calibri" w:hAnsi="Liberation Serif" w:cs="Calibri"/>
          <w:sz w:val="24"/>
        </w:rPr>
        <w:t>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B42A46">
        <w:pict>
          <v:shapetype id="_x0000_t202" coordsize="21600,21600" o:spt="202" path="m,l,21600r21600,l21600,xe">
            <v:stroke joinstyle="miter"/>
            <v:path gradientshapeok="t" o:connecttype="rect"/>
          </v:shapetype>
          <v:shape id="Frame1" o:spid="_x0000_s1029" type="#_x0000_t202" style="position:absolute;left:0;text-align:left;margin-left:0;margin-top:.05pt;width:391.4pt;height:67.5pt;z-index:251656192;visibility:visible;mso-wrap-style:square;mso-wrap-distance-left:0;mso-wrap-distance-top:0;mso-wrap-distance-right:0;mso-wrap-distance-bottom:0;mso-position-horizontal:center;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GT0G2rUCAACMBwAAHwAAAAAAAAAA&#10;AAAAAAAgAgAAY2xpcGJvYXJkL2RyYXdpbmdzL2RyYXdpbmcxLnhtbFBLAQItABQABgAIAAAAIQCc&#10;Tl4h4gYAADocAAAaAAAAAAAAAAAAAAAAABIFAABjbGlwYm9hcmQvdGhlbWUvdGhlbWUxLnhtbFBL&#10;AQItABQABgAIAAAAIQCcZkZBuwAAACQBAAAqAAAAAAAAAAAAAAAAACwMAABjbGlwYm9hcmQvZHJh&#10;d2luZ3MvX3JlbHMvZHJhd2luZzEueG1sLnJlbHNQSwUGAAAAAAUABQBnAQAALw0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la consommation de viande rouge, ou l’ampleur de l’effort nécessaire pour espérer </w:t>
      </w:r>
      <w:proofErr w:type="gramStart"/>
      <w:r>
        <w:rPr>
          <w:rFonts w:ascii="Liberation Serif" w:eastAsia="Calibri" w:hAnsi="Liberation Serif" w:cs="Calibri"/>
          <w:sz w:val="24"/>
        </w:rPr>
        <w:t>contenir</w:t>
      </w:r>
      <w:proofErr w:type="gramEnd"/>
      <w:r>
        <w:rPr>
          <w:rFonts w:ascii="Liberation Serif" w:eastAsia="Calibri" w:hAnsi="Liberation Serif" w:cs="Calibri"/>
          <w:sz w:val="24"/>
        </w:rPr>
        <w:t xml:space="preserve"> le réchauffement climatique à +2°C en 2100 </w:t>
      </w:r>
      <w:r w:rsidR="00D20917">
        <w:rPr>
          <w:rFonts w:ascii="Liberation Serif" w:eastAsia="Calibri" w:hAnsi="Liberation Serif" w:cs="Calibri"/>
          <w:sz w:val="24"/>
        </w:rPr>
        <w:t>(</w:t>
      </w:r>
      <w:r>
        <w:rPr>
          <w:rFonts w:ascii="Liberation Serif" w:eastAsia="Calibri" w:hAnsi="Liberation Serif" w:cs="Calibri"/>
          <w:sz w:val="24"/>
        </w:rPr>
        <w:t>la division par au moins 5 de nos émissions de gaz à effet de serre d’ici 2050</w:t>
      </w:r>
      <w:r w:rsidR="00D20917">
        <w:rPr>
          <w:rFonts w:ascii="Liberation Serif" w:eastAsia="Calibri" w:hAnsi="Liberation Serif" w:cs="Calibri"/>
          <w:sz w:val="24"/>
        </w:rPr>
        <w:t>)</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w:t>
      </w:r>
      <w:commentRangeStart w:id="1"/>
      <w:r>
        <w:rPr>
          <w:rFonts w:ascii="Liberation Serif" w:eastAsia="Calibri" w:hAnsi="Liberation Serif" w:cs="Calibri"/>
          <w:sz w:val="24"/>
        </w:rPr>
        <w:t xml:space="preserve">recommandation </w:t>
      </w:r>
      <w:commentRangeEnd w:id="1"/>
      <w:r w:rsidR="00A96938">
        <w:rPr>
          <w:rStyle w:val="CommentReference"/>
          <w:rFonts w:cs="Mangal"/>
        </w:rPr>
        <w:commentReference w:id="1"/>
      </w:r>
      <w:r>
        <w:rPr>
          <w:rFonts w:ascii="Liberation Serif" w:eastAsia="Calibri" w:hAnsi="Liberation Serif" w:cs="Calibri"/>
          <w:sz w:val="24"/>
        </w:rPr>
        <w:t xml:space="preserve">(et elle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22h ? Une telle décision pourrait en tous cas être soumise à referendum.</w:t>
      </w:r>
    </w:p>
    <w:p w:rsidR="00B72371"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Lors de ses travaux, la convention citoyenne insiste à juste titre sur le fait que la transition écologique doit aller de pair avec la justice sociale. En effet, pourquoi se soucierait-on des générations futures si on négligeait les injustices actuelles ? Non seulement la transition écologique serait incohérente si elle n’allait pas de pair avec la réduction des inégalités, mais elle aurait </w:t>
      </w:r>
      <w:r w:rsidR="00B72371">
        <w:rPr>
          <w:rFonts w:ascii="Liberation Serif" w:eastAsia="Calibri" w:hAnsi="Liberation Serif" w:cs="Calibri"/>
          <w:sz w:val="24"/>
        </w:rPr>
        <w:t>également</w:t>
      </w:r>
      <w:r>
        <w:rPr>
          <w:rFonts w:ascii="Liberation Serif" w:eastAsia="Calibri" w:hAnsi="Liberation Serif" w:cs="Calibri"/>
          <w:sz w:val="24"/>
        </w:rPr>
        <w:t xml:space="preserve"> moins de chances de réussir. Cela </w:t>
      </w:r>
      <w:r w:rsidR="00B72371">
        <w:rPr>
          <w:rFonts w:ascii="Liberation Serif" w:eastAsia="Calibri" w:hAnsi="Liberation Serif" w:cs="Calibri"/>
          <w:sz w:val="24"/>
        </w:rPr>
        <w:t xml:space="preserve">est vrai à l’échelle nationale, </w:t>
      </w:r>
      <w:r w:rsidR="00EE4DEA">
        <w:rPr>
          <w:rFonts w:ascii="Liberation Serif" w:eastAsia="Calibri" w:hAnsi="Liberation Serif" w:cs="Calibri"/>
          <w:sz w:val="24"/>
        </w:rPr>
        <w:t xml:space="preserve">pour laquelle </w:t>
      </w:r>
      <w:hyperlink r:id="rId12" w:history="1">
        <w:r w:rsidR="00EE4DEA" w:rsidRPr="00EE4DEA">
          <w:rPr>
            <w:rStyle w:val="Hyperlink"/>
            <w:rFonts w:ascii="Liberation Serif" w:eastAsia="Calibri" w:hAnsi="Liberation Serif" w:cs="Calibri"/>
            <w:sz w:val="24"/>
          </w:rPr>
          <w:t>une majorité</w:t>
        </w:r>
      </w:hyperlink>
      <w:r w:rsidR="00EE4DEA">
        <w:rPr>
          <w:rFonts w:ascii="Liberation Serif" w:eastAsia="Calibri" w:hAnsi="Liberation Serif" w:cs="Calibri"/>
          <w:sz w:val="24"/>
        </w:rPr>
        <w:t xml:space="preserve"> de la population souhaite que</w:t>
      </w:r>
      <w:r w:rsidR="00B72371">
        <w:rPr>
          <w:rFonts w:ascii="Liberation Serif" w:eastAsia="Calibri" w:hAnsi="Liberation Serif" w:cs="Calibri"/>
          <w:sz w:val="24"/>
        </w:rPr>
        <w:t xml:space="preserve"> les </w:t>
      </w:r>
      <w:r w:rsidR="00B72371">
        <w:rPr>
          <w:rFonts w:ascii="Liberation Serif" w:eastAsia="Calibri" w:hAnsi="Liberation Serif" w:cs="Calibri"/>
          <w:sz w:val="24"/>
        </w:rPr>
        <w:lastRenderedPageBreak/>
        <w:t xml:space="preserve">10 % </w:t>
      </w:r>
      <w:r w:rsidR="007E6778">
        <w:rPr>
          <w:rFonts w:ascii="Liberation Serif" w:eastAsia="Calibri" w:hAnsi="Liberation Serif" w:cs="Calibri"/>
          <w:sz w:val="24"/>
        </w:rPr>
        <w:t xml:space="preserve">de ménages </w:t>
      </w:r>
      <w:r w:rsidR="00B72371">
        <w:rPr>
          <w:rFonts w:ascii="Liberation Serif" w:eastAsia="Calibri" w:hAnsi="Liberation Serif" w:cs="Calibri"/>
          <w:sz w:val="24"/>
        </w:rPr>
        <w:t xml:space="preserve">les plus </w:t>
      </w:r>
      <w:r w:rsidR="007E6778">
        <w:rPr>
          <w:rFonts w:ascii="Liberation Serif" w:eastAsia="Calibri" w:hAnsi="Liberation Serif" w:cs="Calibri"/>
          <w:sz w:val="24"/>
        </w:rPr>
        <w:t>aisés</w:t>
      </w:r>
      <w:r w:rsidR="00B72371">
        <w:rPr>
          <w:rFonts w:ascii="Liberation Serif" w:eastAsia="Calibri" w:hAnsi="Liberation Serif" w:cs="Calibri"/>
          <w:sz w:val="24"/>
        </w:rPr>
        <w:t xml:space="preserve"> pourraient être mis à</w:t>
      </w:r>
      <w:r w:rsidR="00EE4DEA">
        <w:rPr>
          <w:rFonts w:ascii="Liberation Serif" w:eastAsia="Calibri" w:hAnsi="Liberation Serif" w:cs="Calibri"/>
          <w:sz w:val="24"/>
        </w:rPr>
        <w:t xml:space="preserve"> contribution</w:t>
      </w:r>
      <w:r w:rsidR="007E0406">
        <w:rPr>
          <w:rFonts w:ascii="Liberation Serif" w:eastAsia="Calibri" w:hAnsi="Liberation Serif" w:cs="Calibri"/>
          <w:sz w:val="24"/>
        </w:rPr>
        <w:t xml:space="preserve">. Mais 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 xml:space="preserve">l’échelle mondiale. Les plus riches, et à travers eux les pays riches, ont une dette morale vis-à-vis du reste de l’humanité, qui va subir les conséquences climatiques d’émissions dont ils sont largement responsables. Aussi, il semble du devoir des pays riches de financer le surcoût que représentent pour les pays à bas revenus les infrastructures non polluantes. Le </w:t>
      </w:r>
      <w:hyperlink r:id="rId13"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Il serait juste que la France porte sa contribution à (au moins)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w:t>
      </w:r>
      <w:r w:rsidR="007E0406">
        <w:rPr>
          <w:rFonts w:ascii="Liberation Serif" w:eastAsia="Calibri" w:hAnsi="Liberation Serif" w:cs="Calibri"/>
          <w:sz w:val="24"/>
        </w:rPr>
        <w:t>afin de</w:t>
      </w:r>
      <w:r>
        <w:rPr>
          <w:rFonts w:ascii="Liberation Serif" w:eastAsia="Calibri" w:hAnsi="Liberation Serif" w:cs="Calibri"/>
          <w:sz w:val="24"/>
        </w:rPr>
        <w:t xml:space="preserve"> </w:t>
      </w:r>
      <w:r w:rsidR="007E0406">
        <w:rPr>
          <w:rFonts w:ascii="Liberation Serif" w:eastAsia="Calibri" w:hAnsi="Liberation Serif" w:cs="Calibri"/>
          <w:sz w:val="24"/>
        </w:rPr>
        <w:t xml:space="preserve">réduire drastiquement nos émissions de gaz à effet de serre. Le </w:t>
      </w:r>
      <w:hyperlink r:id="rId14" w:history="1">
        <w:r w:rsidR="007E0406">
          <w:rPr>
            <w:rStyle w:val="InternetLink"/>
            <w:rFonts w:ascii="Liberation Serif" w:eastAsia="Calibri" w:hAnsi="Liberation Serif" w:cs="Calibri"/>
            <w:sz w:val="24"/>
          </w:rPr>
          <w:t xml:space="preserve">scénario </w:t>
        </w:r>
        <w:proofErr w:type="spellStart"/>
        <w:r w:rsidR="007E0406">
          <w:rPr>
            <w:rStyle w:val="InternetLink"/>
            <w:rFonts w:ascii="Liberation Serif" w:eastAsia="Calibri" w:hAnsi="Liberation Serif" w:cs="Calibri"/>
            <w:sz w:val="24"/>
          </w:rPr>
          <w:t>négaWatt</w:t>
        </w:r>
        <w:proofErr w:type="spellEnd"/>
      </w:hyperlink>
      <w:r w:rsidR="007E0406">
        <w:rPr>
          <w:rFonts w:ascii="Liberation Serif" w:hAnsi="Liberation Serif"/>
          <w:sz w:val="24"/>
        </w:rPr>
        <w:t xml:space="preserve"> insiste sur les économies d’énergie rendues possibles par une révision à la baisse du dimensionnement de nos équipements ainsi que </w:t>
      </w:r>
      <w:r w:rsidR="00666FFE">
        <w:rPr>
          <w:rFonts w:ascii="Liberation Serif" w:hAnsi="Liberation Serif"/>
          <w:sz w:val="24"/>
        </w:rPr>
        <w:t xml:space="preserve">par </w:t>
      </w:r>
      <w:r w:rsidR="007E0406">
        <w:rPr>
          <w:rFonts w:ascii="Liberation Serif" w:hAnsi="Liberation Serif"/>
          <w:sz w:val="24"/>
        </w:rPr>
        <w:t xml:space="preserve">leur mutualisation, </w:t>
      </w:r>
      <w:r w:rsidR="00666FFE">
        <w:rPr>
          <w:rFonts w:ascii="Liberation Serif" w:hAnsi="Liberation Serif"/>
          <w:sz w:val="24"/>
        </w:rPr>
        <w:t xml:space="preserve">mais également par un allongement de leur </w:t>
      </w:r>
      <w:r w:rsidR="007E0406">
        <w:rPr>
          <w:rFonts w:ascii="Liberation Serif" w:hAnsi="Liberation Serif"/>
          <w:sz w:val="24"/>
        </w:rPr>
        <w:t xml:space="preserve">durée de </w:t>
      </w:r>
      <w:r w:rsidR="00666FFE">
        <w:rPr>
          <w:rFonts w:ascii="Liberation Serif" w:hAnsi="Liberation Serif"/>
          <w:sz w:val="24"/>
        </w:rPr>
        <w:t xml:space="preserve">vie. Le </w:t>
      </w:r>
      <w:hyperlink r:id="rId15" w:history="1">
        <w:r w:rsidR="00666FFE">
          <w:rPr>
            <w:rStyle w:val="InternetLink"/>
            <w:rFonts w:ascii="Liberation Serif" w:hAnsi="Liberation Serif"/>
            <w:sz w:val="24"/>
          </w:rPr>
          <w:t xml:space="preserve">rapport </w:t>
        </w:r>
        <w:proofErr w:type="spellStart"/>
        <w:r w:rsidR="00666FFE">
          <w:rPr>
            <w:rStyle w:val="InternetLink"/>
            <w:rFonts w:ascii="Liberation Serif" w:hAnsi="Liberation Serif"/>
            <w:sz w:val="24"/>
          </w:rPr>
          <w:t>Sidler</w:t>
        </w:r>
        <w:proofErr w:type="spellEnd"/>
      </w:hyperlink>
      <w:r w:rsidR="00666FFE">
        <w:rPr>
          <w:rFonts w:ascii="Liberation Serif" w:hAnsi="Liberation Serif"/>
          <w:sz w:val="24"/>
        </w:rPr>
        <w:t xml:space="preserve"> préconise de rendre obligatoire l’</w:t>
      </w:r>
      <w:hyperlink r:id="rId16" w:history="1">
        <w:r w:rsidR="00666FFE" w:rsidRPr="00D06289">
          <w:rPr>
            <w:rStyle w:val="Hyperlink"/>
            <w:rFonts w:ascii="Liberation Serif" w:hAnsi="Liberation Serif"/>
            <w:sz w:val="24"/>
          </w:rPr>
          <w:t>isolation</w:t>
        </w:r>
      </w:hyperlink>
      <w:r w:rsidR="00666FFE">
        <w:rPr>
          <w:rFonts w:ascii="Liberation Serif" w:hAnsi="Liberation Serif"/>
          <w:sz w:val="24"/>
        </w:rPr>
        <w:t xml:space="preserve">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w:t>
      </w:r>
      <w:r w:rsidR="00ED7B36">
        <w:rPr>
          <w:rFonts w:ascii="Liberation Serif" w:hAnsi="Liberation Serif"/>
          <w:sz w:val="24"/>
        </w:rPr>
        <w:t xml:space="preserve"> et correspond au coût des travaux requis :</w:t>
      </w:r>
      <w:r w:rsidR="00E017DF">
        <w:rPr>
          <w:rFonts w:ascii="Liberation Serif" w:hAnsi="Liberation Serif"/>
          <w:sz w:val="24"/>
        </w:rPr>
        <w:t xml:space="preserve"> </w:t>
      </w:r>
      <w:hyperlink r:id="rId17" w:history="1">
        <w:r w:rsidR="00E017DF" w:rsidRPr="00ED7B36">
          <w:rPr>
            <w:rStyle w:val="Hyperlink"/>
            <w:rFonts w:ascii="Liberation Serif" w:hAnsi="Liberation Serif"/>
            <w:sz w:val="24"/>
          </w:rPr>
          <w:t>10 Mds</w:t>
        </w:r>
      </w:hyperlink>
      <w:r w:rsidR="00E017DF">
        <w:rPr>
          <w:rFonts w:ascii="Liberation Serif" w:hAnsi="Liberation Serif"/>
          <w:sz w:val="24"/>
        </w:rPr>
        <w:t xml:space="preserve"> annuels), selon une idée proche d’une </w:t>
      </w:r>
      <w:hyperlink r:id="rId18"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L’offre de </w:t>
      </w:r>
      <w:hyperlink r:id="rId19" w:history="1">
        <w:r w:rsidR="00E017DF" w:rsidRPr="00D06289">
          <w:rPr>
            <w:rStyle w:val="Hyperlink"/>
            <w:rFonts w:ascii="Liberation Serif" w:hAnsi="Liberation Serif"/>
            <w:sz w:val="24"/>
          </w:rPr>
          <w:t>transports en commun</w:t>
        </w:r>
      </w:hyperlink>
      <w:r w:rsidR="00E017DF">
        <w:rPr>
          <w:rFonts w:ascii="Liberation Serif" w:hAnsi="Liberation Serif"/>
          <w:sz w:val="24"/>
        </w:rPr>
        <w:t xml:space="preserve"> devrait être étendue, </w:t>
      </w:r>
      <w:hyperlink r:id="rId20" w:history="1">
        <w:r w:rsidR="00E017DF" w:rsidRPr="00E017DF">
          <w:rPr>
            <w:rStyle w:val="Hyperlink"/>
            <w:rFonts w:ascii="Liberation Serif" w:hAnsi="Liberation Serif"/>
            <w:sz w:val="24"/>
          </w:rPr>
          <w:t>en particulier</w:t>
        </w:r>
      </w:hyperlink>
      <w:r w:rsidR="00E017DF">
        <w:rPr>
          <w:rFonts w:ascii="Liberation Serif" w:hAnsi="Liberation Serif"/>
          <w:sz w:val="24"/>
        </w:rPr>
        <w:t xml:space="preserve"> dans les villes moyennes (autour de 100</w:t>
      </w:r>
      <w:r w:rsidR="00E017DF">
        <w:rPr>
          <w:rFonts w:ascii="Liberation Serif" w:eastAsia="Calibri" w:hAnsi="Liberation Serif" w:cs="Calibri"/>
          <w:sz w:val="24"/>
        </w:rPr>
        <w:t xml:space="preserve"> 000 habitants), et l’usage du </w:t>
      </w:r>
      <w:hyperlink r:id="rId21" w:history="1">
        <w:r w:rsidR="00E017DF" w:rsidRPr="00D06289">
          <w:rPr>
            <w:rStyle w:val="Hyperlink"/>
            <w:rFonts w:ascii="Liberation Serif" w:eastAsia="Calibri" w:hAnsi="Liberation Serif" w:cs="Calibri"/>
            <w:sz w:val="24"/>
          </w:rPr>
          <w:t>vélo</w:t>
        </w:r>
      </w:hyperlink>
      <w:r w:rsidR="00E017DF">
        <w:rPr>
          <w:rFonts w:ascii="Liberation Serif" w:eastAsia="Calibri" w:hAnsi="Liberation Serif" w:cs="Calibri"/>
          <w:sz w:val="24"/>
        </w:rPr>
        <w:t xml:space="preserve"> devrait être facilité. Le kérosène pourrait être taxé, ainsi que toutes les sources de gaz à effet de serre, et les recettes générées pourraient être </w:t>
      </w:r>
      <w:hyperlink r:id="rId22" w:history="1">
        <w:r w:rsidR="00E017DF" w:rsidRPr="007E6778">
          <w:rPr>
            <w:rStyle w:val="Hyperlink"/>
            <w:rFonts w:ascii="Liberation Serif" w:eastAsia="Calibri" w:hAnsi="Liberation Serif" w:cs="Calibri"/>
            <w:sz w:val="24"/>
          </w:rPr>
          <w:t>reversées</w:t>
        </w:r>
      </w:hyperlink>
      <w:r w:rsidR="00E017DF">
        <w:rPr>
          <w:rFonts w:ascii="Liberation Serif" w:eastAsia="Calibri" w:hAnsi="Liberation Serif" w:cs="Calibri"/>
          <w:sz w:val="24"/>
        </w:rPr>
        <w:t xml:space="preserve"> à la moitié des ménages les plus modestes.</w:t>
      </w:r>
      <w:r w:rsidR="007E6778">
        <w:rPr>
          <w:rFonts w:ascii="Liberation Serif" w:eastAsia="Calibri" w:hAnsi="Liberation Serif" w:cs="Calibri"/>
          <w:sz w:val="24"/>
        </w:rPr>
        <w:t xml:space="preserve"> Malgré ces quelques pistes, je n’ai pas l’expertise pour proposer l’articulation juste et efficace de régulations, investissements, normes et taxes nécessaires à la transition.</w:t>
      </w: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En revanche, je peux donner mon avis sur les obstacles au financement d’un tel « Green New Deal ». En un mot : il n’y en a pas. </w:t>
      </w:r>
      <w:r w:rsidR="00A33966">
        <w:rPr>
          <w:rFonts w:ascii="Liberation Serif" w:eastAsia="Calibri" w:hAnsi="Liberation Serif" w:cs="Calibri"/>
          <w:sz w:val="24"/>
        </w:rPr>
        <w:t>L</w:t>
      </w:r>
      <w:r w:rsidR="00EE4DEA">
        <w:rPr>
          <w:rFonts w:ascii="Liberation Serif" w:eastAsia="Calibri" w:hAnsi="Liberation Serif" w:cs="Calibri"/>
          <w:sz w:val="24"/>
        </w:rPr>
        <w:t xml:space="preserve">es investissements écologiques peuvent être </w:t>
      </w:r>
      <w:r w:rsidR="00A33966">
        <w:rPr>
          <w:rFonts w:ascii="Liberation Serif" w:eastAsia="Calibri" w:hAnsi="Liberation Serif" w:cs="Calibri"/>
          <w:sz w:val="24"/>
        </w:rPr>
        <w:t>financés par des crédits subventionnés par la puissance publique</w:t>
      </w:r>
      <w:commentRangeStart w:id="3"/>
      <w:r>
        <w:rPr>
          <w:rFonts w:ascii="Liberation Serif" w:eastAsia="Calibri" w:hAnsi="Liberation Serif" w:cs="Calibri"/>
          <w:sz w:val="24"/>
        </w:rPr>
        <w:t>.</w:t>
      </w:r>
      <w:commentRangeEnd w:id="3"/>
      <w:r w:rsidR="00EE4DEA">
        <w:rPr>
          <w:rStyle w:val="CommentReference"/>
          <w:rFonts w:cs="Mangal"/>
        </w:rPr>
        <w:commentReference w:id="3"/>
      </w:r>
      <w:r>
        <w:rPr>
          <w:rFonts w:ascii="Liberation Serif" w:eastAsia="Calibri" w:hAnsi="Liberation Serif" w:cs="Calibri"/>
          <w:sz w:val="24"/>
        </w:rPr>
        <w:t xml:space="preserve"> </w:t>
      </w:r>
      <w:r w:rsidR="00A33966">
        <w:rPr>
          <w:rFonts w:ascii="Liberation Serif" w:eastAsia="Calibri" w:hAnsi="Liberation Serif" w:cs="Calibri"/>
          <w:sz w:val="24"/>
        </w:rPr>
        <w:t xml:space="preserve">Des </w:t>
      </w:r>
      <w:hyperlink r:id="rId23" w:history="1">
        <w:r w:rsidR="00A33966" w:rsidRPr="005A6B91">
          <w:rPr>
            <w:rStyle w:val="Hyperlink"/>
            <w:rFonts w:ascii="Liberation Serif" w:eastAsia="Calibri" w:hAnsi="Liberation Serif" w:cs="Calibri"/>
            <w:sz w:val="24"/>
          </w:rPr>
          <w:t>propositions</w:t>
        </w:r>
      </w:hyperlink>
      <w:r w:rsidR="00A33966">
        <w:rPr>
          <w:rFonts w:ascii="Liberation Serif" w:eastAsia="Calibri" w:hAnsi="Liberation Serif" w:cs="Calibri"/>
          <w:sz w:val="24"/>
        </w:rPr>
        <w:t xml:space="preserve"> en ce sens ont déjà été formulées à l’échelle européenne, et plusieurs </w:t>
      </w:r>
      <w:r w:rsidR="00A33966" w:rsidRPr="00ED7B36">
        <w:rPr>
          <w:rFonts w:ascii="Liberation Serif" w:eastAsia="Calibri" w:hAnsi="Liberation Serif" w:cs="Calibri"/>
          <w:sz w:val="24"/>
        </w:rPr>
        <w:t>montages</w:t>
      </w:r>
      <w:r w:rsidR="00A33966">
        <w:rPr>
          <w:rFonts w:ascii="Liberation Serif" w:eastAsia="Calibri" w:hAnsi="Liberation Serif" w:cs="Calibri"/>
          <w:sz w:val="24"/>
        </w:rPr>
        <w:t xml:space="preserve"> peuvent être envisagés</w:t>
      </w:r>
      <w:r w:rsidR="005A6B91">
        <w:rPr>
          <w:rFonts w:ascii="Liberation Serif" w:eastAsia="Calibri" w:hAnsi="Liberation Serif" w:cs="Calibri"/>
          <w:sz w:val="24"/>
        </w:rPr>
        <w:t xml:space="preserve"> en France</w:t>
      </w:r>
      <w:r w:rsidR="00A33966">
        <w:rPr>
          <w:rFonts w:ascii="Liberation Serif" w:eastAsia="Calibri" w:hAnsi="Liberation Serif" w:cs="Calibri"/>
          <w:sz w:val="24"/>
        </w:rPr>
        <w:t xml:space="preserve">, tels qu’une garantie de la Caisse des dépôts et l’émission de </w:t>
      </w:r>
      <w:hyperlink r:id="rId24" w:history="1">
        <w:r w:rsidR="00A33966" w:rsidRPr="00ED7B36">
          <w:rPr>
            <w:rStyle w:val="Hyperlink"/>
            <w:rFonts w:ascii="Liberation Serif" w:eastAsia="Calibri" w:hAnsi="Liberation Serif" w:cs="Calibri"/>
            <w:sz w:val="24"/>
          </w:rPr>
          <w:t>dette publique</w:t>
        </w:r>
      </w:hyperlink>
      <w:r w:rsidR="00A33966">
        <w:rPr>
          <w:rFonts w:ascii="Liberation Serif" w:eastAsia="Calibri" w:hAnsi="Liberation Serif" w:cs="Calibri"/>
          <w:sz w:val="24"/>
        </w:rPr>
        <w:t>. Dans un contexte de chômage élevé et de taux d’intérêt proches de zéro, une telle approche permettrait de créer des emplois sans risque d’inflation et sans constituer un fardeau pour les contribuables futurs</w:t>
      </w:r>
      <w:commentRangeStart w:id="4"/>
      <w:r w:rsidR="00A33966">
        <w:rPr>
          <w:rFonts w:ascii="Liberation Serif" w:eastAsia="Calibri" w:hAnsi="Liberation Serif" w:cs="Calibri"/>
          <w:sz w:val="24"/>
        </w:rPr>
        <w:t>.</w:t>
      </w:r>
      <w:commentRangeEnd w:id="4"/>
      <w:r w:rsidR="005A6B91">
        <w:rPr>
          <w:rStyle w:val="CommentReference"/>
          <w:rFonts w:cs="Mangal"/>
        </w:rPr>
        <w:commentReference w:id="4"/>
      </w:r>
      <w:r w:rsidR="00A33966">
        <w:rPr>
          <w:rFonts w:ascii="Liberation Serif" w:eastAsia="Calibri" w:hAnsi="Liberation Serif" w:cs="Calibri"/>
          <w:sz w:val="24"/>
        </w:rPr>
        <w:t xml:space="preserve">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p w:rsidR="007E6778" w:rsidRPr="007E6778" w:rsidRDefault="007E6778" w:rsidP="00B24C8E">
      <w:pPr>
        <w:spacing w:after="200" w:line="276" w:lineRule="exact"/>
        <w:jc w:val="both"/>
        <w:rPr>
          <w:rFonts w:ascii="Liberation Serif" w:eastAsia="Calibri" w:hAnsi="Liberation Serif" w:cs="Calibri"/>
          <w:b/>
          <w:sz w:val="24"/>
        </w:rPr>
      </w:pPr>
      <w:r w:rsidRPr="007E6778">
        <w:rPr>
          <w:rFonts w:ascii="Liberation Serif" w:eastAsia="Calibri" w:hAnsi="Liberation Serif" w:cs="Calibri"/>
          <w:b/>
          <w:sz w:val="24"/>
        </w:rPr>
        <w:t>Aux oubliettes</w:t>
      </w:r>
    </w:p>
    <w:p w:rsidR="00D20917" w:rsidRDefault="00D20917"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Not : Perdants (si c’est efficace, les plus polluants) ; consommateurs pas entreprises</w:t>
      </w:r>
    </w:p>
    <w:p w:rsidR="00D20917" w:rsidRDefault="00D20917" w:rsidP="00B24C8E">
      <w:pPr>
        <w:spacing w:after="200" w:line="276" w:lineRule="exact"/>
        <w:jc w:val="both"/>
        <w:rPr>
          <w:rFonts w:ascii="Liberation Serif" w:hAnsi="Liberation Serif"/>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Notre enquête révèle que deux tiers des Françaises et des Français sont prêts à </w:t>
      </w:r>
      <w:r>
        <w:rPr>
          <w:rFonts w:ascii="Liberation Serif" w:eastAsia="Calibri" w:hAnsi="Liberation Serif" w:cs="Calibri"/>
          <w:sz w:val="24"/>
        </w:rPr>
        <w:lastRenderedPageBreak/>
        <w:t>changer de mode de vie, en mangeant peu de viande rouge et n’utilisant presque plus de carburants, mais à la condition que l’effort soit commun et partagé équitablement. Cette condition n’était pas vérifiée par la taxe sur les carburants instaurée par le gouvernement (et gelée suite aux protestations des Gilets jaunes), notamment car elle ne prévoyait pas de compenser pour la hausse des prix les ménages qui ont déjà du mal à boucler leurs fins de mois. Cette baisse de pouvoir d’achat chez les plus modestes n’était tout simplement pas acceptable alors que la plupart des gens souhaite une réduction des inégalités. En effet, pourquoi se soucier des générations futures si on néglige les injustices actuelles ?</w:t>
      </w:r>
    </w:p>
    <w:p w:rsidR="00B24C8E" w:rsidRDefault="00B42A46" w:rsidP="00B24C8E">
      <w:pPr>
        <w:spacing w:after="200" w:line="276" w:lineRule="exact"/>
        <w:jc w:val="both"/>
        <w:rPr>
          <w:rFonts w:ascii="Liberation Serif" w:eastAsia="Calibri" w:hAnsi="Liberation Serif" w:cs="Calibri"/>
          <w:sz w:val="24"/>
        </w:rPr>
      </w:pPr>
      <w:r>
        <w:pict>
          <v:shape id="Frame4" o:spid="_x0000_s1031" type="#_x0000_t202" style="position:absolute;left:0;text-align:left;margin-left:96.45pt;margin-top:259.4pt;width:255.8pt;height:254.6pt;z-index:25165721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7C02D769" wp14:editId="140EC6DE">
                        <wp:extent cx="3251200" cy="264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26"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w:r>
      <w:r w:rsidR="00B24C8E">
        <w:rPr>
          <w:rFonts w:ascii="Liberation Serif" w:eastAsia="Calibri" w:hAnsi="Liberation Serif" w:cs="Calibri"/>
          <w:sz w:val="24"/>
        </w:rPr>
        <w:tab/>
        <w:t xml:space="preserve">Or, même sans mesure de justice sociale plus générale, la taxe carbone elle-même peut être conçue de façon à avantager les plus modestes. </w:t>
      </w:r>
      <w:hyperlink r:id="rId27" w:history="1">
        <w:r w:rsidR="00B24C8E">
          <w:rPr>
            <w:rStyle w:val="InternetLink"/>
            <w:rFonts w:ascii="Liberation Serif" w:hAnsi="Liberation Serif"/>
            <w:sz w:val="24"/>
          </w:rPr>
          <w:t>Ce que proposent</w:t>
        </w:r>
      </w:hyperlink>
      <w:r w:rsidR="00B24C8E">
        <w:rPr>
          <w:rFonts w:ascii="Liberation Serif" w:eastAsia="Calibri" w:hAnsi="Liberation Serif" w:cs="Calibri"/>
          <w:sz w:val="24"/>
        </w:rPr>
        <w:t xml:space="preserve"> plus de 3000 économistes, dont 27 « prix Nobel », c’est une « 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grâce à une telle mesure. Certes, les émissions ne dépendent pas que du revenu, et certains ménages modestes seraient quand même perdants si le dividende était le même pour chaque personne. Pour contrer ce problème, le Conseil d’Analyse Économique </w:t>
      </w:r>
      <w:hyperlink r:id="rId28" w:history="1">
        <w:r w:rsidR="00B24C8E">
          <w:rPr>
            <w:rStyle w:val="InternetLink"/>
            <w:rFonts w:ascii="Liberation Serif" w:hAnsi="Liberation Serif"/>
            <w:sz w:val="24"/>
          </w:rPr>
          <w:t>propose</w:t>
        </w:r>
      </w:hyperlink>
      <w:r w:rsidR="00B24C8E">
        <w:rPr>
          <w:rFonts w:ascii="Liberation Serif" w:eastAsia="Calibri" w:hAnsi="Liberation Serif" w:cs="Calibri"/>
          <w:sz w:val="24"/>
        </w:rPr>
        <w:t xml:space="preserve"> ainsi de verser un dividende plus élevé aux ménages les plus modestes, et de ne pas en verser aux ménages les plus riches : la part des perdants parmi la moitié les plus modestes serait alors limitée à 14 % (Figure 2). Si beaucoup sont dubitatifs quant à l’utilité d’une mesure qui reprend d’une main ce qu’elle donne de l’autre, le site TODO devrait rassurer les sceptiques, car il explique pédagogiquement comment les variations de prix induisent des changements de comportement vertueux, et il permet à toute personne de simuler l’impact d’une taxe &amp; dividende sur son pouvoir d’achat. </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lastRenderedPageBreak/>
        <w:tab/>
        <w:t>Cela dit, cette simulation risque de ne pas suffire à convaincre les gens qu’ils pourraient sortir gagnants de l’instauration d’une taxe, car une grande méfiance s’est installée envers toute forme de taxation des carburants. Ainsi, même si 61 % des gens gagneraient en pouvoir d’achat suite à une taxe &amp; dividende uniforme, seuls 14 % estiment que ce serait le cas pour leur ménage. Une taxe &amp; dividende restreinte au kérosène serait en revanche largement acceptée, car taxer le kérosène est populaire même sans « dividende ». Avec le temps, et si des alternatives aux énergies fossiles sont développées en parallèle, une telle mesure pourrait même convaincre par l’expérience des vertus d’une taxe &amp; dividende étendue aux autres secteurs. Et c’est une question de justice que d’étendre le principe pollueur-payeur à toutes les émissions de gaz à effet de serre. Pour autant, une taxe &amp; dividende d’un montant modéré ne peut suffire à enclencher la transition écologique : avec une hausse de la Contribution Climat Énergie de 50€ par tonne de CO</w:t>
      </w:r>
      <w:r>
        <w:rPr>
          <w:rFonts w:ascii="Liberation Serif" w:eastAsia="Calibri" w:hAnsi="Liberation Serif" w:cs="Calibri"/>
          <w:sz w:val="24"/>
          <w:vertAlign w:val="subscript"/>
        </w:rPr>
        <w:t>2</w:t>
      </w:r>
      <w:r>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leur pouvoir d’achat. Mais il faudrait surtout d’autres mesures, et notamment pour offrir des alternatives à la voiture thermique </w:t>
      </w:r>
      <w:r w:rsidR="00B42A46">
        <w:pict>
          <v:shape id="Frame2" o:spid="_x0000_s1032" type="#_x0000_t202" style="position:absolute;left:0;text-align:left;margin-left:-71.5pt;margin-top:218.45pt;width:283.4pt;height:193.05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2E5F36AE" wp14:editId="15C175A0">
                        <wp:extent cx="3600450" cy="193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450" cy="1936750"/>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w:r>
      <w:r w:rsidR="00B42A46">
        <w:pict>
          <v:shape id="Frame3" o:spid="_x0000_s1030" type="#_x0000_t202" style="position:absolute;left:0;text-align:left;margin-left:215.3pt;margin-top:217.4pt;width:290.8pt;height:189.6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1B7C065B" wp14:editId="000C80DE">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w:r>
      <w:r>
        <w:rPr>
          <w:rFonts w:ascii="Liberation Serif" w:eastAsia="Calibri" w:hAnsi="Liberation Serif" w:cs="Calibri"/>
          <w:sz w:val="24"/>
        </w:rPr>
        <w:t xml:space="preserve">individuelle et au chauffage au fioul ou au gaz naturel.   </w:t>
      </w:r>
    </w:p>
    <w:p w:rsidR="00B24C8E" w:rsidRDefault="00B24C8E" w:rsidP="00B24C8E">
      <w:pPr>
        <w:spacing w:after="200" w:line="276" w:lineRule="exact"/>
        <w:jc w:val="both"/>
        <w:rPr>
          <w:rFonts w:ascii="Liberation Serif" w:eastAsia="Calibri" w:hAnsi="Liberation Serif" w:cs="Calibri"/>
          <w:sz w:val="24"/>
        </w:rPr>
      </w:pP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Warnings :</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Entreprises moins responsables que consommateurs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Autres pays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Pas de problème de financement</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Il y aura des perdants (exemple : viande)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Taxe efficace (biogaz vs. gaz naturel, subvention vers profit et riches, normes sur émissions par voiture ou sur isolation n’incitent pas à se passer de voiture ou à chauffer moins mais sont coûteuses pour certains car ils changent alors qu’ils auraient préféré payer), progressive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lastRenderedPageBreak/>
        <w:t>Mais taxe insuffisante ou bien effets distributifs horizontaux</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Sobriété nécessaire (dimensionnement, durée de vie, mutualisation)</w:t>
      </w:r>
    </w:p>
    <w:p w:rsidR="00B24C8E" w:rsidRDefault="00B24C8E" w:rsidP="00B24C8E">
      <w:pPr>
        <w:spacing w:after="200" w:line="276" w:lineRule="exact"/>
        <w:jc w:val="both"/>
        <w:rPr>
          <w:rFonts w:ascii="Liberation Serif" w:hAnsi="Liberation Serif"/>
          <w:sz w:val="24"/>
        </w:rPr>
      </w:pPr>
      <w:r>
        <w:rPr>
          <w:rFonts w:ascii="Liberation Serif" w:hAnsi="Liberation Serif"/>
          <w:sz w:val="24"/>
        </w:rPr>
        <w:t>Résultats/recommandations :</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Campagne médiatique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Intrication avec redistribution/justice (lier à international ?)</w:t>
      </w:r>
    </w:p>
    <w:p w:rsidR="0053688A" w:rsidRPr="00B24C8E" w:rsidRDefault="00B24C8E" w:rsidP="00B24C8E">
      <w:pPr>
        <w:pStyle w:val="ListParagraph"/>
        <w:numPr>
          <w:ilvl w:val="0"/>
          <w:numId w:val="1"/>
        </w:numPr>
        <w:spacing w:after="200" w:line="276" w:lineRule="exact"/>
        <w:jc w:val="both"/>
      </w:pPr>
      <w:r w:rsidRPr="00510AE2">
        <w:rPr>
          <w:rFonts w:ascii="Liberation Serif" w:hAnsi="Liberation Serif"/>
          <w:sz w:val="24"/>
        </w:rPr>
        <w:t>Remplacement de la taxe de publicité foncière par obligation rénovation (10 Mds €)</w:t>
      </w:r>
    </w:p>
    <w:sectPr w:rsidR="0053688A" w:rsidRPr="00B24C8E">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en" w:date="2019-11-02T21:45:00Z" w:initials="AF">
    <w:p w:rsidR="00D06289" w:rsidRDefault="00D06289">
      <w:pPr>
        <w:pStyle w:val="CommentText"/>
      </w:pPr>
      <w:r>
        <w:rPr>
          <w:rStyle w:val="CommentReference"/>
        </w:rPr>
        <w:annotationRef/>
      </w:r>
      <w:r>
        <w:t>Economiste ?</w:t>
      </w:r>
    </w:p>
  </w:comment>
  <w:comment w:id="1" w:author="Adrien" w:date="2019-11-05T19:33:00Z" w:initials="AF">
    <w:p w:rsidR="00A96938" w:rsidRDefault="00A96938">
      <w:pPr>
        <w:pStyle w:val="CommentText"/>
      </w:pPr>
      <w:r>
        <w:rPr>
          <w:rStyle w:val="CommentReference"/>
        </w:rPr>
        <w:annotationRef/>
      </w:r>
      <w:r>
        <w:t>proposition</w:t>
      </w:r>
      <w:bookmarkStart w:id="2" w:name="_GoBack"/>
      <w:bookmarkEnd w:id="2"/>
    </w:p>
  </w:comment>
  <w:comment w:id="3" w:author="Adrien" w:date="2019-11-02T22:26:00Z" w:initials="AF">
    <w:p w:rsidR="00EE4DEA" w:rsidRDefault="00EE4DEA">
      <w:pPr>
        <w:pStyle w:val="CommentText"/>
        <w:rPr>
          <w:rFonts w:ascii="Liberation Serif" w:eastAsia="Calibri" w:hAnsi="Liberation Serif" w:cs="Calibri"/>
          <w:sz w:val="24"/>
        </w:rPr>
      </w:pPr>
      <w:r>
        <w:rPr>
          <w:rStyle w:val="CommentReference"/>
        </w:rPr>
        <w:annotationRef/>
      </w:r>
      <w:r>
        <w:rPr>
          <w:rFonts w:ascii="Liberation Serif" w:eastAsia="Calibri" w:hAnsi="Liberation Serif" w:cs="Calibri"/>
          <w:sz w:val="24"/>
        </w:rPr>
        <w:t xml:space="preserve">Même si on lit </w:t>
      </w:r>
      <w:hyperlink r:id="rId1" w:history="1">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correspondantes, cette règle n’apparaît pas dans la </w:t>
      </w:r>
      <w:hyperlink r:id="rId2" w:history="1">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plus judicieux pour les investissements écologiques publics semble être l’octroi de crédits garantis par la puissance publique, par exemple à travers la Caisse des dépôts ou La Banque Postale (et dont l’analogue au niveau européen est le </w:t>
      </w:r>
      <w:hyperlink r:id="rId3" w:history="1">
        <w:r>
          <w:rPr>
            <w:rStyle w:val="InternetLink"/>
            <w:rFonts w:ascii="Liberation Serif" w:hAnsi="Liberation Serif"/>
            <w:sz w:val="24"/>
          </w:rPr>
          <w:t>Pacte Finance-</w:t>
        </w:r>
        <w:proofErr w:type="spellStart"/>
        <w:r>
          <w:rPr>
            <w:rStyle w:val="InternetLink"/>
            <w:rFonts w:ascii="Liberation Serif" w:hAnsi="Liberation Serif"/>
            <w:sz w:val="24"/>
          </w:rPr>
          <w:t>Cli</w:t>
        </w:r>
        <w:proofErr w:type="spellEnd"/>
        <w:r w:rsidR="005A6B91">
          <w:rPr>
            <w:rStyle w:val="InternetLink"/>
            <w:rFonts w:ascii="Liberation Serif" w:hAnsi="Liberation Serif"/>
            <w:sz w:val="24"/>
          </w:rPr>
          <w:tab/>
        </w:r>
        <w:r>
          <w:rPr>
            <w:rStyle w:val="InternetLink"/>
            <w:rFonts w:ascii="Liberation Serif" w:hAnsi="Liberation Serif"/>
            <w:sz w:val="24"/>
          </w:rPr>
          <w:t>mat</w:t>
        </w:r>
      </w:hyperlink>
      <w:r>
        <w:rPr>
          <w:rFonts w:ascii="Liberation Serif" w:eastAsia="Calibri" w:hAnsi="Liberation Serif" w:cs="Calibri"/>
          <w:sz w:val="24"/>
        </w:rPr>
        <w:t>). Dans un contexte de chômage élevé et de taux d’intérêt proches de zéro, une telle approche permettrait de créer des emplois sans risque d’inflation et sans constituer un fardeau pour les contribuables futurs. Cela dit, le gouvernement risque de refuser une telle solution, car il l’interpréterait probablement comme une atteinte à la règle d’or budgétaire européenne (règle par ailleurs controversée). Il ne faut pas s’en inquiéter, car d’autres sources de financement sont possibles, telle qu’une mise à contribution des ménages les plus aisés.</w:t>
      </w:r>
    </w:p>
    <w:p w:rsidR="00A33966" w:rsidRDefault="00A33966">
      <w:pPr>
        <w:pStyle w:val="CommentText"/>
        <w:rPr>
          <w:rFonts w:ascii="Liberation Serif" w:eastAsia="Calibri" w:hAnsi="Liberation Serif" w:cs="Calibri"/>
          <w:sz w:val="24"/>
        </w:rPr>
      </w:pPr>
    </w:p>
    <w:p w:rsidR="00A33966" w:rsidRDefault="00A33966">
      <w:pPr>
        <w:pStyle w:val="CommentText"/>
      </w:pPr>
      <w:r>
        <w:rPr>
          <w:rFonts w:ascii="Liberation Serif" w:eastAsia="Calibri" w:hAnsi="Liberation Serif" w:cs="Calibri"/>
          <w:sz w:val="24"/>
        </w:rPr>
        <w:t>Outre la mise à contribution des plus riches déjà évoquée, l</w:t>
      </w:r>
    </w:p>
  </w:comment>
  <w:comment w:id="4" w:author="Adrien" w:date="2019-11-02T22:28:00Z" w:initials="AF">
    <w:p w:rsidR="005A6B91" w:rsidRDefault="005A6B91" w:rsidP="005A6B91">
      <w:pPr>
        <w:spacing w:after="200" w:line="276" w:lineRule="exact"/>
        <w:ind w:firstLine="709"/>
        <w:jc w:val="both"/>
        <w:rPr>
          <w:rFonts w:ascii="Liberation Serif" w:hAnsi="Liberation Serif"/>
          <w:sz w:val="24"/>
        </w:rPr>
      </w:pPr>
      <w:r>
        <w:rPr>
          <w:rStyle w:val="CommentReference"/>
        </w:rPr>
        <w:annotationRef/>
      </w:r>
      <w:r>
        <w:rPr>
          <w:rFonts w:ascii="Liberation Serif" w:eastAsia="Calibri" w:hAnsi="Liberation Serif" w:cs="Calibri"/>
          <w:sz w:val="24"/>
        </w:rPr>
        <w:t xml:space="preserve">Si le gouvernement refuse une telle proposition sous prétexte qu’elle enfreindrait la règle d’or budgétaire européenne (règle par ailleurs controversée), le financement pourra se reposer sur la mise à contribution des plus riches évoquée plus haut. Quoi qu’il en soit, la convention ne devrait pas s’inquiéter de cette question du financement,  car sa </w:t>
      </w:r>
      <w:hyperlink r:id="rId4" w:history="1">
        <w:r>
          <w:rPr>
            <w:rStyle w:val="InternetLink"/>
            <w:rFonts w:ascii="Liberation Serif" w:hAnsi="Liberation Serif"/>
            <w:sz w:val="24"/>
          </w:rPr>
          <w:t>lettre de mission</w:t>
        </w:r>
      </w:hyperlink>
      <w:r>
        <w:rPr>
          <w:rFonts w:ascii="Liberation Serif" w:eastAsia="Calibri" w:hAnsi="Liberation Serif" w:cs="Calibri"/>
          <w:sz w:val="24"/>
        </w:rPr>
        <w:t xml:space="preserve"> ne stipule pas que chaque dépense proposée doive être adossée à des recettes correspondantes.</w:t>
      </w:r>
    </w:p>
    <w:p w:rsidR="005A6B91" w:rsidRDefault="005A6B9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A46" w:rsidRDefault="00B42A46">
      <w:r>
        <w:separator/>
      </w:r>
    </w:p>
  </w:endnote>
  <w:endnote w:type="continuationSeparator" w:id="0">
    <w:p w:rsidR="00B42A46" w:rsidRDefault="00B4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A46" w:rsidRDefault="00B42A46">
      <w:r>
        <w:separator/>
      </w:r>
    </w:p>
  </w:footnote>
  <w:footnote w:type="continuationSeparator" w:id="0">
    <w:p w:rsidR="00B42A46" w:rsidRDefault="00B42A46">
      <w:r>
        <w:continuationSeparator/>
      </w:r>
    </w:p>
  </w:footnote>
  <w:footnote w:id="1">
    <w:p w:rsidR="00B24C8E" w:rsidRDefault="00B24C8E" w:rsidP="00B24C8E">
      <w:pPr>
        <w:pStyle w:val="FootnoteText"/>
        <w:rPr>
          <w:rFonts w:ascii="Liberation Serif" w:hAnsi="Liberation Serif"/>
        </w:rPr>
      </w:pPr>
      <w:r>
        <w:rPr>
          <w:rStyle w:val="FootnoteCharacters"/>
        </w:rPr>
        <w:footnoteRef/>
      </w:r>
      <w:r>
        <w:rPr>
          <w:rFonts w:ascii="Liberation Serif" w:hAnsi="Liberation Serif"/>
        </w:rPr>
        <w:tab/>
        <w:t xml:space="preserve">cf. la note </w:t>
      </w:r>
      <w:proofErr w:type="spellStart"/>
      <w:r>
        <w:rPr>
          <w:rFonts w:ascii="Liberation Serif" w:hAnsi="Liberation Serif"/>
        </w:rPr>
        <w:t>Cepremap</w:t>
      </w:r>
      <w:proofErr w:type="spellEnd"/>
      <w:r>
        <w:rPr>
          <w:rFonts w:ascii="Liberation Serif" w:hAnsi="Liberation Serif"/>
        </w:rPr>
        <w:t>. TODO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3688A"/>
    <w:rsid w:val="00083213"/>
    <w:rsid w:val="00110781"/>
    <w:rsid w:val="0011761F"/>
    <w:rsid w:val="00240EBD"/>
    <w:rsid w:val="00250F01"/>
    <w:rsid w:val="00256A4E"/>
    <w:rsid w:val="002872A3"/>
    <w:rsid w:val="002A1BB7"/>
    <w:rsid w:val="002F6EBE"/>
    <w:rsid w:val="00350348"/>
    <w:rsid w:val="00493B0E"/>
    <w:rsid w:val="004A30BD"/>
    <w:rsid w:val="00510AE2"/>
    <w:rsid w:val="0053688A"/>
    <w:rsid w:val="005A6B91"/>
    <w:rsid w:val="00666FFE"/>
    <w:rsid w:val="00695F10"/>
    <w:rsid w:val="006C06B0"/>
    <w:rsid w:val="007901E8"/>
    <w:rsid w:val="007B06FA"/>
    <w:rsid w:val="007E0406"/>
    <w:rsid w:val="007E6778"/>
    <w:rsid w:val="00800A1F"/>
    <w:rsid w:val="00835BBF"/>
    <w:rsid w:val="00854134"/>
    <w:rsid w:val="00881A53"/>
    <w:rsid w:val="00A33966"/>
    <w:rsid w:val="00A96938"/>
    <w:rsid w:val="00B24C8E"/>
    <w:rsid w:val="00B42A46"/>
    <w:rsid w:val="00B7113E"/>
    <w:rsid w:val="00B72371"/>
    <w:rsid w:val="00CA3B82"/>
    <w:rsid w:val="00D06289"/>
    <w:rsid w:val="00D20917"/>
    <w:rsid w:val="00D40FFE"/>
    <w:rsid w:val="00DD3F05"/>
    <w:rsid w:val="00E017DF"/>
    <w:rsid w:val="00E86495"/>
    <w:rsid w:val="00EA28FA"/>
    <w:rsid w:val="00EC76DB"/>
    <w:rsid w:val="00ED7B36"/>
    <w:rsid w:val="00EE4DE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acte-climat.eu/fr/un-projet-de-traite/" TargetMode="External"/><Relationship Id="rId2" Type="http://schemas.openxmlformats.org/officeDocument/2006/relationships/hyperlink" Target="https://www.conventioncitoyennepourleclimat.fr/wp-content/uploads/2019/09/lettre-de-mission.pdf" TargetMode="External"/><Relationship Id="rId1" Type="http://schemas.openxmlformats.org/officeDocument/2006/relationships/hyperlink" Target="https://www.lemonde.fr/politique/article/2019/05/19/150-francais-tires-au-sort-six-mois-de-debat-la-taxe-carbone-sur-la-table-la-convention-citoyenne-se-precise_5464124_823448.html" TargetMode="External"/><Relationship Id="rId4" Type="http://schemas.openxmlformats.org/officeDocument/2006/relationships/hyperlink" Target="https://www.conventioncitoyennepourleclimat.fr/wp-content/uploads/2019/09/lettre-de-mission.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reenclimate.fund/how-we-work/resource-mobilization" TargetMode="External"/><Relationship Id="rId18" Type="http://schemas.openxmlformats.org/officeDocument/2006/relationships/hyperlink" Target="https://contribuez.conventioncitoyennepourleclimat.fr/processes/se-loger/f/5/proposals/259" TargetMode="External"/><Relationship Id="rId26" Type="http://schemas.openxmlformats.org/officeDocument/2006/relationships/hyperlink" Target="http://www.cae-eco.fr/IMG/pdf/cae-note050v2.pdf" TargetMode="External"/><Relationship Id="rId3" Type="http://schemas.openxmlformats.org/officeDocument/2006/relationships/styles" Target="styles.xml"/><Relationship Id="rId21" Type="http://schemas.openxmlformats.org/officeDocument/2006/relationships/hyperlink" Target="https://theshiftproject.org/article/plan-velo-peut-beaucoup-mieux-faire/" TargetMode="External"/><Relationship Id="rId7" Type="http://schemas.openxmlformats.org/officeDocument/2006/relationships/footnotes" Target="footnotes.xml"/><Relationship Id="rId12" Type="http://schemas.openxmlformats.org/officeDocument/2006/relationships/hyperlink" Target="https://www.lemonde.fr/idees/article/2018/12/14/gilets-jaunes-le-ras-le-bol-fiscal-ne-date-pas-d-hier_5397597_3232.html" TargetMode="External"/><Relationship Id="rId17" Type="http://schemas.openxmlformats.org/officeDocument/2006/relationships/hyperlink" Target="http://deepdecarbonization.org/wp-content/uploads/2015/09/DDPP_FRA.pdf"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theshiftproject.org/wp-content/uploads/2017/05/tsp_-_gt_renovation_thermique_du_batiment_v3.4.pdf" TargetMode="External"/><Relationship Id="rId20"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cepii.fr/PDF_PUB/pb/2015/pb2015-06.pdf" TargetMode="External"/><Relationship Id="rId5" Type="http://schemas.openxmlformats.org/officeDocument/2006/relationships/settings" Target="settings.xml"/><Relationship Id="rId15" Type="http://schemas.openxmlformats.org/officeDocument/2006/relationships/hyperlink" Target="https://negawatt.org/telechargement/Docs/Sidler%20Renovation%20final%201107.pdf" TargetMode="External"/><Relationship Id="rId23" Type="http://schemas.openxmlformats.org/officeDocument/2006/relationships/hyperlink" Target="https://www.pacte-climat.eu/fr/un-projet-de-traite/" TargetMode="External"/><Relationship Id="rId28" Type="http://schemas.openxmlformats.org/officeDocument/2006/relationships/hyperlink" Target="http://www.cae-eco.fr/IMG/pdf/cae-note050v2.pdf" TargetMode="External"/><Relationship Id="rId10" Type="http://schemas.openxmlformats.org/officeDocument/2006/relationships/comments" Target="comments.xml"/><Relationship Id="rId19" Type="http://schemas.openxmlformats.org/officeDocument/2006/relationships/hyperlink" Target="https://theshiftproject.org/wp-content/uploads/2017/09/2017-09-14_RAPPORT-D%C3%A9carboner-la-mobilit%C3%A9-dans-les-zones-de-moyenne-densit%C3%A9_TSP_WEB-V2.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s://negawatt.org/IMG/pdf/synthese_scenario-negawatt_2017-2050.pdf" TargetMode="External"/><Relationship Id="rId22" Type="http://schemas.openxmlformats.org/officeDocument/2006/relationships/hyperlink" Target="http://www.cae-eco.fr/IMG/pdf/cae-note050v2.pdf" TargetMode="External"/><Relationship Id="rId27" Type="http://schemas.openxmlformats.org/officeDocument/2006/relationships/hyperlink" Target="https://www.clcouncil.org/media/EconomistsStatement.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EA75C-2491-469E-9781-9518F3B8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5</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47</cp:revision>
  <dcterms:created xsi:type="dcterms:W3CDTF">2019-10-24T17:39:00Z</dcterms:created>
  <dcterms:modified xsi:type="dcterms:W3CDTF">2019-11-06T00:33:00Z</dcterms:modified>
  <dc:language>fr-FR</dc:language>
</cp:coreProperties>
</file>