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8"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w:t>
      </w:r>
      <w:r w:rsidR="00D20917">
        <w:rPr>
          <w:rFonts w:ascii="Liberation Serif" w:eastAsia="Calibri" w:hAnsi="Liberation Serif" w:cs="Calibri"/>
          <w:sz w:val="24"/>
        </w:rPr>
        <w:t>effectuent</w:t>
      </w:r>
      <w:r>
        <w:rPr>
          <w:rFonts w:ascii="Liberation Serif" w:eastAsia="Calibri" w:hAnsi="Liberation Serif" w:cs="Calibri"/>
          <w:sz w:val="24"/>
        </w:rPr>
        <w:t xml:space="preserve"> un travail remarquable, prometteur tant pour la transition écologique que pour la démocratisation de l’écriture </w:t>
      </w:r>
      <w:r w:rsidR="00D20917">
        <w:rPr>
          <w:rFonts w:ascii="Liberation Serif" w:eastAsia="Calibri" w:hAnsi="Liberation Serif" w:cs="Calibri"/>
          <w:sz w:val="24"/>
        </w:rPr>
        <w:t>des lois. En tant que chercheur</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D20917">
        <w:rPr>
          <w:rFonts w:ascii="Liberation Serif" w:eastAsia="Calibri" w:hAnsi="Liberation Serif" w:cs="Calibri"/>
          <w:sz w:val="24"/>
        </w:rPr>
        <w:t>analysé</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r w:rsidR="00D20917">
        <w:rPr>
          <w:rFonts w:ascii="Liberation Serif" w:eastAsia="Calibri" w:hAnsi="Liberation Serif" w:cs="Calibri"/>
          <w:sz w:val="24"/>
        </w:rPr>
        <w:t>ce</w:t>
      </w:r>
      <w:r>
        <w:rPr>
          <w:rFonts w:ascii="Liberation Serif" w:eastAsia="Calibri" w:hAnsi="Liberation Serif" w:cs="Calibri"/>
          <w:sz w:val="24"/>
        </w:rPr>
        <w:t xml:space="preserve"> trava</w:t>
      </w:r>
      <w:r w:rsidR="00D20917">
        <w:rPr>
          <w:rFonts w:ascii="Liberation Serif" w:eastAsia="Calibri" w:hAnsi="Liberation Serif" w:cs="Calibri"/>
          <w:sz w:val="24"/>
        </w:rPr>
        <w:t>il</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w:t>
      </w:r>
      <w:r w:rsidR="00D20917">
        <w:rPr>
          <w:rFonts w:ascii="Liberation Serif" w:eastAsia="Calibri" w:hAnsi="Liberation Serif" w:cs="Calibri"/>
          <w:sz w:val="24"/>
        </w:rPr>
        <w:t>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bookmarkStart w:id="0" w:name="_GoBack"/>
      <w:bookmarkEnd w:id="0"/>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4A30BD">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l’ampleur de l’effort nécessaire pour espérer contenir le réchauffement climatique à +2°C en 2100 </w:t>
      </w:r>
      <w:r w:rsidR="00D20917">
        <w:rPr>
          <w:rFonts w:ascii="Liberation Serif" w:eastAsia="Calibri" w:hAnsi="Liberation Serif" w:cs="Calibri"/>
          <w:sz w:val="24"/>
        </w:rPr>
        <w:t>(</w:t>
      </w:r>
      <w:r>
        <w:rPr>
          <w:rFonts w:ascii="Liberation Serif" w:eastAsia="Calibri" w:hAnsi="Liberation Serif" w:cs="Calibri"/>
          <w:sz w:val="24"/>
        </w:rPr>
        <w:t>la division par au moins 5 de nos émissions de gaz à effet de serre d’ici 2050</w:t>
      </w:r>
      <w:r w:rsidR="00D20917">
        <w:rPr>
          <w:rFonts w:ascii="Liberation Serif" w:eastAsia="Calibri" w:hAnsi="Liberation Serif" w:cs="Calibri"/>
          <w:sz w:val="24"/>
        </w:rPr>
        <w:t>)</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recommandation (et elle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Lors de ses travaux, la convention citoyenne insiste à juste titre sur le fait que la transition écologique doit aller de pair avec la justice sociale. </w:t>
      </w:r>
      <w:r>
        <w:rPr>
          <w:rFonts w:ascii="Liberation Serif" w:eastAsia="Calibri" w:hAnsi="Liberation Serif" w:cs="Calibri"/>
          <w:sz w:val="24"/>
        </w:rPr>
        <w:t>En effet, pourquoi se soucier</w:t>
      </w:r>
      <w:r>
        <w:rPr>
          <w:rFonts w:ascii="Liberation Serif" w:eastAsia="Calibri" w:hAnsi="Liberation Serif" w:cs="Calibri"/>
          <w:sz w:val="24"/>
        </w:rPr>
        <w:t>ait-on</w:t>
      </w:r>
      <w:r>
        <w:rPr>
          <w:rFonts w:ascii="Liberation Serif" w:eastAsia="Calibri" w:hAnsi="Liberation Serif" w:cs="Calibri"/>
          <w:sz w:val="24"/>
        </w:rPr>
        <w:t xml:space="preserve"> des générations futures si on néglige</w:t>
      </w:r>
      <w:r>
        <w:rPr>
          <w:rFonts w:ascii="Liberation Serif" w:eastAsia="Calibri" w:hAnsi="Liberation Serif" w:cs="Calibri"/>
          <w:sz w:val="24"/>
        </w:rPr>
        <w:t>ait</w:t>
      </w:r>
      <w:r>
        <w:rPr>
          <w:rFonts w:ascii="Liberation Serif" w:eastAsia="Calibri" w:hAnsi="Liberation Serif" w:cs="Calibri"/>
          <w:sz w:val="24"/>
        </w:rPr>
        <w:t xml:space="preserve"> les injustices actuelles ?</w:t>
      </w:r>
      <w:r>
        <w:rPr>
          <w:rFonts w:ascii="Liberation Serif" w:eastAsia="Calibri" w:hAnsi="Liberation Serif" w:cs="Calibri"/>
          <w:sz w:val="24"/>
        </w:rPr>
        <w:t xml:space="preserve"> Non seulement la transition écologique serait incohérente si elle n’allait pas de pair avec la réduction des inégalités, mais elle aurait </w:t>
      </w:r>
      <w:r w:rsidR="00B72371">
        <w:rPr>
          <w:rFonts w:ascii="Liberation Serif" w:eastAsia="Calibri" w:hAnsi="Liberation Serif" w:cs="Calibri"/>
          <w:sz w:val="24"/>
        </w:rPr>
        <w:t>également</w:t>
      </w:r>
      <w:r>
        <w:rPr>
          <w:rFonts w:ascii="Liberation Serif" w:eastAsia="Calibri" w:hAnsi="Liberation Serif" w:cs="Calibri"/>
          <w:sz w:val="24"/>
        </w:rPr>
        <w:t xml:space="preserve"> moins de chances de réussir. Cela </w:t>
      </w:r>
      <w:r w:rsidR="00B72371">
        <w:rPr>
          <w:rFonts w:ascii="Liberation Serif" w:eastAsia="Calibri" w:hAnsi="Liberation Serif" w:cs="Calibri"/>
          <w:sz w:val="24"/>
        </w:rPr>
        <w:t xml:space="preserve">est vrai à l’échelle nationale, où les 10 % </w:t>
      </w:r>
      <w:r w:rsidR="007E6778">
        <w:rPr>
          <w:rFonts w:ascii="Liberation Serif" w:eastAsia="Calibri" w:hAnsi="Liberation Serif" w:cs="Calibri"/>
          <w:sz w:val="24"/>
        </w:rPr>
        <w:t xml:space="preserve">de ménages </w:t>
      </w:r>
      <w:r w:rsidR="00B72371">
        <w:rPr>
          <w:rFonts w:ascii="Liberation Serif" w:eastAsia="Calibri" w:hAnsi="Liberation Serif" w:cs="Calibri"/>
          <w:sz w:val="24"/>
        </w:rPr>
        <w:t xml:space="preserve">les plus </w:t>
      </w:r>
      <w:r w:rsidR="007E6778">
        <w:rPr>
          <w:rFonts w:ascii="Liberation Serif" w:eastAsia="Calibri" w:hAnsi="Liberation Serif" w:cs="Calibri"/>
          <w:sz w:val="24"/>
        </w:rPr>
        <w:t>aisés</w:t>
      </w:r>
      <w:r w:rsidR="00B72371">
        <w:rPr>
          <w:rFonts w:ascii="Liberation Serif" w:eastAsia="Calibri" w:hAnsi="Liberation Serif" w:cs="Calibri"/>
          <w:sz w:val="24"/>
        </w:rPr>
        <w:t xml:space="preserve"> pourraient être mis à </w:t>
      </w:r>
      <w:r w:rsidR="00B72371">
        <w:rPr>
          <w:rFonts w:ascii="Liberation Serif" w:eastAsia="Calibri" w:hAnsi="Liberation Serif" w:cs="Calibri"/>
          <w:sz w:val="24"/>
        </w:rPr>
        <w:lastRenderedPageBreak/>
        <w:t>contribution</w:t>
      </w:r>
      <w:r w:rsidR="007E0406">
        <w:rPr>
          <w:rFonts w:ascii="Liberation Serif" w:eastAsia="Calibri" w:hAnsi="Liberation Serif" w:cs="Calibri"/>
          <w:sz w:val="24"/>
        </w:rPr>
        <w:t xml:space="preserve"> (</w:t>
      </w:r>
      <w:r w:rsidR="007E0406">
        <w:rPr>
          <w:rFonts w:ascii="Liberation Serif" w:eastAsia="Calibri" w:hAnsi="Liberation Serif" w:cs="Calibri"/>
          <w:sz w:val="24"/>
        </w:rPr>
        <w:t>10 %</w:t>
      </w:r>
      <w:r w:rsidR="007E0406">
        <w:rPr>
          <w:rFonts w:ascii="Liberation Serif" w:eastAsia="Calibri" w:hAnsi="Liberation Serif" w:cs="Calibri"/>
          <w:sz w:val="24"/>
        </w:rPr>
        <w:t xml:space="preserve"> est la valeur typiquement préférée </w:t>
      </w:r>
      <w:r w:rsidR="007E6778">
        <w:rPr>
          <w:rFonts w:ascii="Liberation Serif" w:eastAsia="Calibri" w:hAnsi="Liberation Serif" w:cs="Calibri"/>
          <w:sz w:val="24"/>
        </w:rPr>
        <w:t>selon une autre enquête TODO</w:t>
      </w:r>
      <w:r w:rsidR="007E0406">
        <w:rPr>
          <w:rFonts w:ascii="Liberation Serif" w:eastAsia="Calibri" w:hAnsi="Liberation Serif" w:cs="Calibri"/>
          <w:sz w:val="24"/>
        </w:rPr>
        <w:t xml:space="preserve">). Mais 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l’échelle mondiale. L</w:t>
      </w:r>
      <w:r w:rsidR="00B72371">
        <w:rPr>
          <w:rFonts w:ascii="Liberation Serif" w:eastAsia="Calibri" w:hAnsi="Liberation Serif" w:cs="Calibri"/>
          <w:sz w:val="24"/>
        </w:rPr>
        <w:t>es</w:t>
      </w:r>
      <w:r w:rsidR="00B72371">
        <w:rPr>
          <w:rFonts w:ascii="Liberation Serif" w:eastAsia="Calibri" w:hAnsi="Liberation Serif" w:cs="Calibri"/>
          <w:sz w:val="24"/>
        </w:rPr>
        <w:t xml:space="preserve"> plus riches, et à travers eux les</w:t>
      </w:r>
      <w:r w:rsidR="00B72371">
        <w:rPr>
          <w:rFonts w:ascii="Liberation Serif" w:eastAsia="Calibri" w:hAnsi="Liberation Serif" w:cs="Calibri"/>
          <w:sz w:val="24"/>
        </w:rPr>
        <w:t xml:space="preserve"> pays riches</w:t>
      </w:r>
      <w:r w:rsidR="00B72371">
        <w:rPr>
          <w:rFonts w:ascii="Liberation Serif" w:eastAsia="Calibri" w:hAnsi="Liberation Serif" w:cs="Calibri"/>
          <w:sz w:val="24"/>
        </w:rPr>
        <w:t>,</w:t>
      </w:r>
      <w:r w:rsidR="00B72371">
        <w:rPr>
          <w:rFonts w:ascii="Liberation Serif" w:eastAsia="Calibri" w:hAnsi="Liberation Serif" w:cs="Calibri"/>
          <w:sz w:val="24"/>
        </w:rPr>
        <w:t xml:space="preserve"> ont une </w:t>
      </w:r>
      <w:r w:rsidR="00B72371">
        <w:rPr>
          <w:rFonts w:ascii="Liberation Serif" w:eastAsia="Calibri" w:hAnsi="Liberation Serif" w:cs="Calibri"/>
          <w:sz w:val="24"/>
        </w:rPr>
        <w:t>dette morale</w:t>
      </w:r>
      <w:r w:rsidR="00B72371">
        <w:rPr>
          <w:rFonts w:ascii="Liberation Serif" w:eastAsia="Calibri" w:hAnsi="Liberation Serif" w:cs="Calibri"/>
          <w:sz w:val="24"/>
        </w:rPr>
        <w:t xml:space="preserve"> vis-à-vis du reste de l’humanité, qui va subir les conséquences climatiques d</w:t>
      </w:r>
      <w:r w:rsidR="00B72371">
        <w:rPr>
          <w:rFonts w:ascii="Liberation Serif" w:eastAsia="Calibri" w:hAnsi="Liberation Serif" w:cs="Calibri"/>
          <w:sz w:val="24"/>
        </w:rPr>
        <w:t>’émissions dont ils sont largement responsables</w:t>
      </w:r>
      <w:r w:rsidR="00B72371">
        <w:rPr>
          <w:rFonts w:ascii="Liberation Serif" w:eastAsia="Calibri" w:hAnsi="Liberation Serif" w:cs="Calibri"/>
          <w:sz w:val="24"/>
        </w:rPr>
        <w:t>.</w:t>
      </w:r>
      <w:r w:rsidR="00B72371">
        <w:rPr>
          <w:rFonts w:ascii="Liberation Serif" w:eastAsia="Calibri" w:hAnsi="Liberation Serif" w:cs="Calibri"/>
          <w:sz w:val="24"/>
        </w:rPr>
        <w:t xml:space="preserve"> </w:t>
      </w:r>
      <w:r w:rsidR="00B72371">
        <w:rPr>
          <w:rFonts w:ascii="Liberation Serif" w:eastAsia="Calibri" w:hAnsi="Liberation Serif" w:cs="Calibri"/>
          <w:sz w:val="24"/>
        </w:rPr>
        <w:t xml:space="preserve">Aussi, il semble </w:t>
      </w:r>
      <w:r w:rsidR="00B72371">
        <w:rPr>
          <w:rFonts w:ascii="Liberation Serif" w:eastAsia="Calibri" w:hAnsi="Liberation Serif" w:cs="Calibri"/>
          <w:sz w:val="24"/>
        </w:rPr>
        <w:t>du</w:t>
      </w:r>
      <w:r w:rsidR="00B72371">
        <w:rPr>
          <w:rFonts w:ascii="Liberation Serif" w:eastAsia="Calibri" w:hAnsi="Liberation Serif" w:cs="Calibri"/>
          <w:sz w:val="24"/>
        </w:rPr>
        <w:t xml:space="preserve"> devoir </w:t>
      </w:r>
      <w:r w:rsidR="00B72371">
        <w:rPr>
          <w:rFonts w:ascii="Liberation Serif" w:eastAsia="Calibri" w:hAnsi="Liberation Serif" w:cs="Calibri"/>
          <w:sz w:val="24"/>
        </w:rPr>
        <w:t xml:space="preserve">des pays riches </w:t>
      </w:r>
      <w:r w:rsidR="00B72371">
        <w:rPr>
          <w:rFonts w:ascii="Liberation Serif" w:eastAsia="Calibri" w:hAnsi="Liberation Serif" w:cs="Calibri"/>
          <w:sz w:val="24"/>
        </w:rPr>
        <w:t xml:space="preserve">de financer le surcoût que représentent pour les pays à bas revenus les infrastructures non polluantes. Le </w:t>
      </w:r>
      <w:hyperlink r:id="rId10"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w:t>
      </w:r>
      <w:r w:rsidR="00B72371">
        <w:rPr>
          <w:rFonts w:ascii="Liberation Serif" w:eastAsia="Calibri" w:hAnsi="Liberation Serif" w:cs="Calibri"/>
          <w:sz w:val="24"/>
        </w:rPr>
        <w:t>Il serait juste</w:t>
      </w:r>
      <w:r w:rsidR="00B72371">
        <w:rPr>
          <w:rFonts w:ascii="Liberation Serif" w:eastAsia="Calibri" w:hAnsi="Liberation Serif" w:cs="Calibri"/>
          <w:sz w:val="24"/>
        </w:rPr>
        <w:t xml:space="preserve"> que la France porte sa contribution à</w:t>
      </w:r>
      <w:r w:rsidR="00B72371">
        <w:rPr>
          <w:rFonts w:ascii="Liberation Serif" w:eastAsia="Calibri" w:hAnsi="Liberation Serif" w:cs="Calibri"/>
          <w:sz w:val="24"/>
        </w:rPr>
        <w:t xml:space="preserve"> (au moins)</w:t>
      </w:r>
      <w:r w:rsidR="00B72371">
        <w:rPr>
          <w:rFonts w:ascii="Liberation Serif" w:eastAsia="Calibri" w:hAnsi="Liberation Serif" w:cs="Calibri"/>
          <w:sz w:val="24"/>
        </w:rPr>
        <w:t xml:space="preserve">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 xml:space="preserve">réduire drastiquement nos émissions de gaz à effet de serre. Le </w:t>
      </w:r>
      <w:hyperlink r:id="rId11" w:history="1">
        <w:r w:rsidR="007E0406">
          <w:rPr>
            <w:rStyle w:val="InternetLink"/>
            <w:rFonts w:ascii="Liberation Serif" w:eastAsia="Calibri" w:hAnsi="Liberation Serif" w:cs="Calibri"/>
            <w:sz w:val="24"/>
          </w:rPr>
          <w:t>scénario négaWatt</w:t>
        </w:r>
      </w:hyperlink>
      <w:r w:rsidR="007E0406">
        <w:rPr>
          <w:rFonts w:ascii="Liberation Serif" w:hAnsi="Liberation Serif"/>
          <w:sz w:val="24"/>
        </w:rPr>
        <w:t xml:space="preserve"> insiste sur les économies d’énergie rendues possibles par une révision à la baisse du d</w:t>
      </w:r>
      <w:r w:rsidR="007E0406">
        <w:rPr>
          <w:rFonts w:ascii="Liberation Serif" w:hAnsi="Liberation Serif"/>
          <w:sz w:val="24"/>
        </w:rPr>
        <w:t>imensionnement</w:t>
      </w:r>
      <w:r w:rsidR="007E0406">
        <w:rPr>
          <w:rFonts w:ascii="Liberation Serif" w:hAnsi="Liberation Serif"/>
          <w:sz w:val="24"/>
        </w:rPr>
        <w:t xml:space="preserve"> de nos équipements ainsi que </w:t>
      </w:r>
      <w:r w:rsidR="00666FFE">
        <w:rPr>
          <w:rFonts w:ascii="Liberation Serif" w:hAnsi="Liberation Serif"/>
          <w:sz w:val="24"/>
        </w:rPr>
        <w:t xml:space="preserve">par </w:t>
      </w:r>
      <w:r w:rsidR="007E0406">
        <w:rPr>
          <w:rFonts w:ascii="Liberation Serif" w:hAnsi="Liberation Serif"/>
          <w:sz w:val="24"/>
        </w:rPr>
        <w:t>leur mutualisation</w:t>
      </w:r>
      <w:r w:rsidR="007E0406">
        <w:rPr>
          <w:rFonts w:ascii="Liberation Serif" w:hAnsi="Liberation Serif"/>
          <w:sz w:val="24"/>
        </w:rPr>
        <w:t xml:space="preserve">, </w:t>
      </w:r>
      <w:r w:rsidR="00666FFE">
        <w:rPr>
          <w:rFonts w:ascii="Liberation Serif" w:hAnsi="Liberation Serif"/>
          <w:sz w:val="24"/>
        </w:rPr>
        <w:t xml:space="preserve">mais également par un allongement de leur </w:t>
      </w:r>
      <w:r w:rsidR="007E0406">
        <w:rPr>
          <w:rFonts w:ascii="Liberation Serif" w:hAnsi="Liberation Serif"/>
          <w:sz w:val="24"/>
        </w:rPr>
        <w:t xml:space="preserve">durée de </w:t>
      </w:r>
      <w:r w:rsidR="00666FFE">
        <w:rPr>
          <w:rFonts w:ascii="Liberation Serif" w:hAnsi="Liberation Serif"/>
          <w:sz w:val="24"/>
        </w:rPr>
        <w:t xml:space="preserve">vie. Le </w:t>
      </w:r>
      <w:hyperlink r:id="rId12" w:history="1">
        <w:r w:rsidR="00666FFE">
          <w:rPr>
            <w:rStyle w:val="InternetLink"/>
            <w:rFonts w:ascii="Liberation Serif" w:hAnsi="Liberation Serif"/>
            <w:sz w:val="24"/>
          </w:rPr>
          <w:t>rapport Sidler</w:t>
        </w:r>
      </w:hyperlink>
      <w:r w:rsidR="00666FFE">
        <w:rPr>
          <w:rFonts w:ascii="Liberation Serif" w:hAnsi="Liberation Serif"/>
          <w:sz w:val="24"/>
        </w:rPr>
        <w:t xml:space="preserve"> préconise de rendre obligatoire l’isolation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 pour 10 Mds annuels), selon une idée proche d’une </w:t>
      </w:r>
      <w:hyperlink r:id="rId13"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L’offre de transports en commun devrait être étendue, </w:t>
      </w:r>
      <w:hyperlink r:id="rId14" w:history="1">
        <w:r w:rsidR="00E017DF" w:rsidRPr="00E017DF">
          <w:rPr>
            <w:rStyle w:val="Hyperlink"/>
            <w:rFonts w:ascii="Liberation Serif" w:hAnsi="Liberation Serif"/>
            <w:sz w:val="24"/>
          </w:rPr>
          <w:t>en particulier</w:t>
        </w:r>
      </w:hyperlink>
      <w:r w:rsidR="00E017DF">
        <w:rPr>
          <w:rFonts w:ascii="Liberation Serif" w:hAnsi="Liberation Serif"/>
          <w:sz w:val="24"/>
        </w:rPr>
        <w:t xml:space="preserve"> dans les villes moyennes (autour de 100</w:t>
      </w:r>
      <w:r w:rsidR="00E017DF">
        <w:rPr>
          <w:rFonts w:ascii="Liberation Serif" w:eastAsia="Calibri" w:hAnsi="Liberation Serif" w:cs="Calibri"/>
          <w:sz w:val="24"/>
        </w:rPr>
        <w:t> </w:t>
      </w:r>
      <w:r w:rsidR="00E017DF">
        <w:rPr>
          <w:rFonts w:ascii="Liberation Serif" w:eastAsia="Calibri" w:hAnsi="Liberation Serif" w:cs="Calibri"/>
          <w:sz w:val="24"/>
        </w:rPr>
        <w:t xml:space="preserve">000 habitants), et l’usage du vélo devrait être facilité. Le kérosène pourrait être taxé, ainsi que toutes les sources de gaz à effet de serre, et les recettes générées pourraient être </w:t>
      </w:r>
      <w:hyperlink r:id="rId15" w:history="1">
        <w:r w:rsidR="00E017DF" w:rsidRPr="007E6778">
          <w:rPr>
            <w:rStyle w:val="Hyperlink"/>
            <w:rFonts w:ascii="Liberation Serif" w:eastAsia="Calibri" w:hAnsi="Liberation Serif" w:cs="Calibri"/>
            <w:sz w:val="24"/>
          </w:rPr>
          <w:t>reversées</w:t>
        </w:r>
      </w:hyperlink>
      <w:r w:rsidR="00E017DF">
        <w:rPr>
          <w:rFonts w:ascii="Liberation Serif" w:eastAsia="Calibri" w:hAnsi="Liberation Serif" w:cs="Calibri"/>
          <w:sz w:val="24"/>
        </w:rPr>
        <w:t xml:space="preserve"> à la moitié des ménages les plus modestes.</w:t>
      </w:r>
      <w:r w:rsidR="007E6778">
        <w:rPr>
          <w:rFonts w:ascii="Liberation Serif" w:eastAsia="Calibri" w:hAnsi="Liberation Serif" w:cs="Calibri"/>
          <w:sz w:val="24"/>
        </w:rPr>
        <w:t xml:space="preserve"> Malgré ces quelques pistes,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En revanche, je peux donner mon</w:t>
      </w:r>
      <w:r>
        <w:rPr>
          <w:rFonts w:ascii="Liberation Serif" w:eastAsia="Calibri" w:hAnsi="Liberation Serif" w:cs="Calibri"/>
          <w:sz w:val="24"/>
        </w:rPr>
        <w:t xml:space="preserve"> avis sur les obstacles au financement d’un tel « Green New Deal ». En un mot : il n’y en a pas. Même si on lit </w:t>
      </w:r>
      <w:hyperlink r:id="rId16"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17"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18" w:history="1">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p w:rsidR="007E6778" w:rsidRPr="007E6778" w:rsidRDefault="007E6778" w:rsidP="00B24C8E">
      <w:pPr>
        <w:spacing w:after="200" w:line="276" w:lineRule="exact"/>
        <w:jc w:val="both"/>
        <w:rPr>
          <w:rFonts w:ascii="Liberation Serif" w:eastAsia="Calibri" w:hAnsi="Liberation Serif" w:cs="Calibri"/>
          <w:b/>
          <w:sz w:val="24"/>
        </w:rPr>
      </w:pPr>
      <w:r w:rsidRPr="007E6778">
        <w:rPr>
          <w:rFonts w:ascii="Liberation Serif" w:eastAsia="Calibri" w:hAnsi="Liberation Serif" w:cs="Calibri"/>
          <w:b/>
          <w:sz w:val="24"/>
        </w:rPr>
        <w:lastRenderedPageBreak/>
        <w:t>Aux oubliettes</w:t>
      </w:r>
    </w:p>
    <w:p w:rsidR="00D20917" w:rsidRDefault="00D20917"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Not : Perdants (si c’est efficace, les plus polluants) ; consommateurs pas entreprises</w:t>
      </w:r>
    </w:p>
    <w:p w:rsidR="00D20917" w:rsidRDefault="00D20917" w:rsidP="00B24C8E">
      <w:pPr>
        <w:spacing w:after="200" w:line="276" w:lineRule="exact"/>
        <w:jc w:val="both"/>
        <w:rPr>
          <w:rFonts w:ascii="Liberation Serif" w:hAnsi="Liberation Serif"/>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4A30BD"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21"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22" w:history="1">
        <w:r w:rsidR="00B24C8E">
          <w:rPr>
            <w:rStyle w:val="InternetLink"/>
            <w:rFonts w:ascii="Liberation Serif" w:hAnsi="Liberation Serif"/>
            <w:sz w:val="24"/>
          </w:rPr>
          <w:t>pro</w:t>
        </w:r>
        <w:r w:rsidR="00B24C8E">
          <w:rPr>
            <w:rStyle w:val="InternetLink"/>
            <w:rFonts w:ascii="Liberation Serif" w:hAnsi="Liberation Serif"/>
            <w:sz w:val="24"/>
          </w:rPr>
          <w:t>p</w:t>
        </w:r>
        <w:r w:rsidR="00B24C8E">
          <w:rPr>
            <w:rStyle w:val="InternetLink"/>
            <w:rFonts w:ascii="Liberation Serif" w:hAnsi="Liberation Serif"/>
            <w:sz w:val="24"/>
          </w:rPr>
          <w:t>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lastRenderedPageBreak/>
        <w:tab/>
        <w:t>Cela dit, cette simulation risque de ne pas suffire à convaincre les gens qu’ils pourraient sortir gagnants de l’instauration d’une taxe, car une grande méfiance s’est installée envers toute forme de taxation des carburants. Ainsi, même si 61 % des gens gagneraient en pouvoir d’achat suite à une taxe &amp; dividende uniforme, seuls 14 % 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rsidR="004A30BD">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4A30BD">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lastRenderedPageBreak/>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53688A" w:rsidRPr="00B24C8E" w:rsidRDefault="00B24C8E" w:rsidP="00B24C8E">
      <w:pPr>
        <w:pStyle w:val="ListParagraph"/>
        <w:numPr>
          <w:ilvl w:val="0"/>
          <w:numId w:val="1"/>
        </w:numPr>
        <w:spacing w:after="200" w:line="276" w:lineRule="exact"/>
        <w:jc w:val="both"/>
      </w:pPr>
      <w:r w:rsidRPr="00510AE2">
        <w:rPr>
          <w:rFonts w:ascii="Liberation Serif" w:hAnsi="Liberation Serif"/>
          <w:sz w:val="24"/>
        </w:rPr>
        <w:t>Remplacement de la taxe de publicité foncière par obligation rénovation (10 Mds €)</w:t>
      </w:r>
    </w:p>
    <w:sectPr w:rsidR="0053688A" w:rsidRPr="00B24C8E">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BD" w:rsidRDefault="004A30BD">
      <w:r>
        <w:separator/>
      </w:r>
    </w:p>
  </w:endnote>
  <w:endnote w:type="continuationSeparator" w:id="0">
    <w:p w:rsidR="004A30BD" w:rsidRDefault="004A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BD" w:rsidRDefault="004A30BD">
      <w:r>
        <w:separator/>
      </w:r>
    </w:p>
  </w:footnote>
  <w:footnote w:type="continuationSeparator" w:id="0">
    <w:p w:rsidR="004A30BD" w:rsidRDefault="004A30BD">
      <w:r>
        <w:continuationSeparator/>
      </w:r>
    </w:p>
  </w:footnote>
  <w:footnote w:id="1">
    <w:p w:rsidR="00B24C8E" w:rsidRDefault="00B24C8E" w:rsidP="00B24C8E">
      <w:pPr>
        <w:pStyle w:val="FootnoteText"/>
        <w:rPr>
          <w:rFonts w:ascii="Liberation Serif" w:hAnsi="Liberation Serif"/>
        </w:rPr>
      </w:pPr>
      <w:r>
        <w:rPr>
          <w:rStyle w:val="FootnoteCharacters"/>
        </w:rPr>
        <w:footnoteRef/>
      </w:r>
      <w:r>
        <w:rPr>
          <w:rFonts w:ascii="Liberation Serif" w:hAnsi="Liberation Serif"/>
        </w:rPr>
        <w:tab/>
        <w:t>cf. la note Cepremap.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240EBD"/>
    <w:rsid w:val="00250F01"/>
    <w:rsid w:val="00256A4E"/>
    <w:rsid w:val="002872A3"/>
    <w:rsid w:val="002F6EBE"/>
    <w:rsid w:val="00350348"/>
    <w:rsid w:val="00493B0E"/>
    <w:rsid w:val="004A30BD"/>
    <w:rsid w:val="00510AE2"/>
    <w:rsid w:val="0053688A"/>
    <w:rsid w:val="00666FFE"/>
    <w:rsid w:val="00695F10"/>
    <w:rsid w:val="006C06B0"/>
    <w:rsid w:val="007901E8"/>
    <w:rsid w:val="007B06FA"/>
    <w:rsid w:val="007E0406"/>
    <w:rsid w:val="007E6778"/>
    <w:rsid w:val="00800A1F"/>
    <w:rsid w:val="00835BBF"/>
    <w:rsid w:val="00854134"/>
    <w:rsid w:val="00881A53"/>
    <w:rsid w:val="00B24C8E"/>
    <w:rsid w:val="00B7113E"/>
    <w:rsid w:val="00B72371"/>
    <w:rsid w:val="00CA3B82"/>
    <w:rsid w:val="00D20917"/>
    <w:rsid w:val="00D40FFE"/>
    <w:rsid w:val="00DD3F05"/>
    <w:rsid w:val="00E017DF"/>
    <w:rsid w:val="00E86495"/>
    <w:rsid w:val="00EA28FA"/>
    <w:rsid w:val="00EC76DB"/>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ventioncitoyennepourleclimat.fr/" TargetMode="External"/><Relationship Id="rId13" Type="http://schemas.openxmlformats.org/officeDocument/2006/relationships/hyperlink" Target="https://contribuez.conventioncitoyennepourleclimat.fr/processes/se-loger/f/5/proposals/259" TargetMode="External"/><Relationship Id="rId18" Type="http://schemas.openxmlformats.org/officeDocument/2006/relationships/hyperlink" Target="https://www.pacte-climat.eu/fr/un-projet-de-traite/" TargetMode="External"/><Relationship Id="rId3" Type="http://schemas.microsoft.com/office/2007/relationships/stylesWithEffects" Target="stylesWithEffects.xml"/><Relationship Id="rId21" Type="http://schemas.openxmlformats.org/officeDocument/2006/relationships/hyperlink" Target="https://www.clcouncil.org/media/EconomistsStatement.pdf" TargetMode="External"/><Relationship Id="rId7" Type="http://schemas.openxmlformats.org/officeDocument/2006/relationships/endnotes" Target="endnotes.xml"/><Relationship Id="rId12" Type="http://schemas.openxmlformats.org/officeDocument/2006/relationships/hyperlink" Target="https://negawatt.org/telechargement/Docs/Sidler%20Renovation%20final%201107.pdf" TargetMode="External"/><Relationship Id="rId17" Type="http://schemas.openxmlformats.org/officeDocument/2006/relationships/hyperlink" Target="https://www.conventioncitoyennepourleclimat.fr/wp-content/uploads/2019/09/lettre-de-missio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emonde.fr/politique/article/2019/05/19/150-francais-tires-au-sort-six-mois-de-debat-la-taxe-carbone-sur-la-table-la-convention-citoyenne-se-precise_5464124_823448.html" TargetMode="External"/><Relationship Id="rId20" Type="http://schemas.openxmlformats.org/officeDocument/2006/relationships/hyperlink" Target="http://www.cae-eco.fr/IMG/pdf/cae-note050v2.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egawatt.org/IMG/pdf/synthese_scenario-negawatt_2017-2050.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ae-eco.fr/IMG/pdf/cae-note050v2.pdf" TargetMode="External"/><Relationship Id="rId23" Type="http://schemas.openxmlformats.org/officeDocument/2006/relationships/image" Target="media/image3.png"/><Relationship Id="rId10" Type="http://schemas.openxmlformats.org/officeDocument/2006/relationships/hyperlink" Target="https://www.greenclimate.fund/how-we-work/resource-mobilizat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2" Type="http://schemas.openxmlformats.org/officeDocument/2006/relationships/hyperlink" Target="http://www.cae-eco.fr/IMG/pdf/cae-note050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1968</Words>
  <Characters>10082</Characters>
  <Application>Microsoft Office Word</Application>
  <DocSecurity>0</DocSecurity>
  <Lines>148</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43</cp:revision>
  <dcterms:created xsi:type="dcterms:W3CDTF">2019-10-24T17:39:00Z</dcterms:created>
  <dcterms:modified xsi:type="dcterms:W3CDTF">2019-11-02T00:03:00Z</dcterms:modified>
  <dc:language>fr-FR</dc:language>
</cp:coreProperties>
</file>