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9"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w:t>
      </w:r>
      <w:r w:rsidR="00D20917">
        <w:rPr>
          <w:rFonts w:ascii="Liberation Serif" w:eastAsia="Calibri" w:hAnsi="Liberation Serif" w:cs="Calibri"/>
          <w:sz w:val="24"/>
        </w:rPr>
        <w:t>effectuent</w:t>
      </w:r>
      <w:r>
        <w:rPr>
          <w:rFonts w:ascii="Liberation Serif" w:eastAsia="Calibri" w:hAnsi="Liberation Serif" w:cs="Calibri"/>
          <w:sz w:val="24"/>
        </w:rPr>
        <w:t xml:space="preserve"> un travail remarquable, prometteur tant pour la transition écologique que pour la démocratisation de l’écriture </w:t>
      </w:r>
      <w:r w:rsidR="00D20917">
        <w:rPr>
          <w:rFonts w:ascii="Liberation Serif" w:eastAsia="Calibri" w:hAnsi="Liberation Serif" w:cs="Calibri"/>
          <w:sz w:val="24"/>
        </w:rPr>
        <w:t xml:space="preserve">des lois. En tant que </w:t>
      </w:r>
      <w:commentRangeStart w:id="0"/>
      <w:r w:rsidR="00D20917">
        <w:rPr>
          <w:rFonts w:ascii="Liberation Serif" w:eastAsia="Calibri" w:hAnsi="Liberation Serif" w:cs="Calibri"/>
          <w:sz w:val="24"/>
        </w:rPr>
        <w:t>chercheur</w:t>
      </w:r>
      <w:r>
        <w:rPr>
          <w:rFonts w:ascii="Liberation Serif" w:eastAsia="Calibri" w:hAnsi="Liberation Serif" w:cs="Calibri"/>
          <w:sz w:val="24"/>
        </w:rPr>
        <w:t xml:space="preserve"> en sciences sociales</w:t>
      </w:r>
      <w:commentRangeEnd w:id="0"/>
      <w:r w:rsidR="00D06289">
        <w:rPr>
          <w:rStyle w:val="CommentReference"/>
          <w:rFonts w:cs="Mangal"/>
        </w:rPr>
        <w:commentReference w:id="0"/>
      </w:r>
      <w:r>
        <w:rPr>
          <w:rFonts w:ascii="Liberation Serif" w:eastAsia="Calibri" w:hAnsi="Liberation Serif" w:cs="Calibri"/>
          <w:sz w:val="24"/>
        </w:rPr>
        <w:t xml:space="preserve">,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D20917">
        <w:rPr>
          <w:rFonts w:ascii="Liberation Serif" w:eastAsia="Calibri" w:hAnsi="Liberation Serif" w:cs="Calibri"/>
          <w:sz w:val="24"/>
        </w:rPr>
        <w:t>analysé</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r w:rsidR="00D20917">
        <w:rPr>
          <w:rFonts w:ascii="Liberation Serif" w:eastAsia="Calibri" w:hAnsi="Liberation Serif" w:cs="Calibri"/>
          <w:sz w:val="24"/>
        </w:rPr>
        <w:t>ce</w:t>
      </w:r>
      <w:r>
        <w:rPr>
          <w:rFonts w:ascii="Liberation Serif" w:eastAsia="Calibri" w:hAnsi="Liberation Serif" w:cs="Calibri"/>
          <w:sz w:val="24"/>
        </w:rPr>
        <w:t xml:space="preserve"> trava</w:t>
      </w:r>
      <w:r w:rsidR="00D20917">
        <w:rPr>
          <w:rFonts w:ascii="Liberation Serif" w:eastAsia="Calibri" w:hAnsi="Liberation Serif" w:cs="Calibri"/>
          <w:sz w:val="24"/>
        </w:rPr>
        <w:t>il</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w:t>
      </w:r>
      <w:r w:rsidR="00D20917">
        <w:rPr>
          <w:rFonts w:ascii="Liberation Serif" w:eastAsia="Calibri" w:hAnsi="Liberation Serif" w:cs="Calibri"/>
          <w:sz w:val="24"/>
        </w:rPr>
        <w:t>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2A1BB7">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contenir le réchauffement climatique à +2°C en 2100 </w:t>
      </w:r>
      <w:r w:rsidR="00D20917">
        <w:rPr>
          <w:rFonts w:ascii="Liberation Serif" w:eastAsia="Calibri" w:hAnsi="Liberation Serif" w:cs="Calibri"/>
          <w:sz w:val="24"/>
        </w:rPr>
        <w:t>(</w:t>
      </w:r>
      <w:r>
        <w:rPr>
          <w:rFonts w:ascii="Liberation Serif" w:eastAsia="Calibri" w:hAnsi="Liberation Serif" w:cs="Calibri"/>
          <w:sz w:val="24"/>
        </w:rPr>
        <w:t xml:space="preserve">la division par au moins 5 de nos </w:t>
      </w:r>
      <w:proofErr w:type="gramStart"/>
      <w:r>
        <w:rPr>
          <w:rFonts w:ascii="Liberation Serif" w:eastAsia="Calibri" w:hAnsi="Liberation Serif" w:cs="Calibri"/>
          <w:sz w:val="24"/>
        </w:rPr>
        <w:t>émissions</w:t>
      </w:r>
      <w:proofErr w:type="gramEnd"/>
      <w:r>
        <w:rPr>
          <w:rFonts w:ascii="Liberation Serif" w:eastAsia="Calibri" w:hAnsi="Liberation Serif" w:cs="Calibri"/>
          <w:sz w:val="24"/>
        </w:rPr>
        <w:t xml:space="preserve"> de gaz à effet de serre d’ici 2050</w:t>
      </w:r>
      <w:r w:rsidR="00D20917">
        <w:rPr>
          <w:rFonts w:ascii="Liberation Serif" w:eastAsia="Calibri" w:hAnsi="Liberation Serif" w:cs="Calibri"/>
          <w:sz w:val="24"/>
        </w:rPr>
        <w:t>)</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recommandation (et elle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Lors de ses travaux, la convention citoyenne insiste à juste titre sur le fait que la transition écologique doit aller de pair avec la justice sociale. En effet, pourquoi se soucierait-on des générations futures si on négligeait les injustices actuelles ? Non seulement la transition écologique serait incohérente si elle n’allait pas de pair avec la réduction des inégalités, mais elle aurait </w:t>
      </w:r>
      <w:r w:rsidR="00B72371">
        <w:rPr>
          <w:rFonts w:ascii="Liberation Serif" w:eastAsia="Calibri" w:hAnsi="Liberation Serif" w:cs="Calibri"/>
          <w:sz w:val="24"/>
        </w:rPr>
        <w:t>également</w:t>
      </w:r>
      <w:r>
        <w:rPr>
          <w:rFonts w:ascii="Liberation Serif" w:eastAsia="Calibri" w:hAnsi="Liberation Serif" w:cs="Calibri"/>
          <w:sz w:val="24"/>
        </w:rPr>
        <w:t xml:space="preserve"> moins de chances de réussir. Cela </w:t>
      </w:r>
      <w:r w:rsidR="00B72371">
        <w:rPr>
          <w:rFonts w:ascii="Liberation Serif" w:eastAsia="Calibri" w:hAnsi="Liberation Serif" w:cs="Calibri"/>
          <w:sz w:val="24"/>
        </w:rPr>
        <w:t xml:space="preserve">est vrai à l’échelle nationale, </w:t>
      </w:r>
      <w:r w:rsidR="00EE4DEA">
        <w:rPr>
          <w:rFonts w:ascii="Liberation Serif" w:eastAsia="Calibri" w:hAnsi="Liberation Serif" w:cs="Calibri"/>
          <w:sz w:val="24"/>
        </w:rPr>
        <w:t xml:space="preserve">pour laquelle </w:t>
      </w:r>
      <w:hyperlink r:id="rId12" w:history="1">
        <w:r w:rsidR="00EE4DEA" w:rsidRPr="00EE4DEA">
          <w:rPr>
            <w:rStyle w:val="Hyperlink"/>
            <w:rFonts w:ascii="Liberation Serif" w:eastAsia="Calibri" w:hAnsi="Liberation Serif" w:cs="Calibri"/>
            <w:sz w:val="24"/>
          </w:rPr>
          <w:t>une majorité</w:t>
        </w:r>
      </w:hyperlink>
      <w:r w:rsidR="00EE4DEA">
        <w:rPr>
          <w:rFonts w:ascii="Liberation Serif" w:eastAsia="Calibri" w:hAnsi="Liberation Serif" w:cs="Calibri"/>
          <w:sz w:val="24"/>
        </w:rPr>
        <w:t xml:space="preserve"> de la population souhaite que</w:t>
      </w:r>
      <w:r w:rsidR="00B72371">
        <w:rPr>
          <w:rFonts w:ascii="Liberation Serif" w:eastAsia="Calibri" w:hAnsi="Liberation Serif" w:cs="Calibri"/>
          <w:sz w:val="24"/>
        </w:rPr>
        <w:t xml:space="preserve"> les </w:t>
      </w:r>
      <w:r w:rsidR="00B72371">
        <w:rPr>
          <w:rFonts w:ascii="Liberation Serif" w:eastAsia="Calibri" w:hAnsi="Liberation Serif" w:cs="Calibri"/>
          <w:sz w:val="24"/>
        </w:rPr>
        <w:lastRenderedPageBreak/>
        <w:t xml:space="preserve">10 % </w:t>
      </w:r>
      <w:r w:rsidR="007E6778">
        <w:rPr>
          <w:rFonts w:ascii="Liberation Serif" w:eastAsia="Calibri" w:hAnsi="Liberation Serif" w:cs="Calibri"/>
          <w:sz w:val="24"/>
        </w:rPr>
        <w:t xml:space="preserve">de ménages </w:t>
      </w:r>
      <w:r w:rsidR="00B72371">
        <w:rPr>
          <w:rFonts w:ascii="Liberation Serif" w:eastAsia="Calibri" w:hAnsi="Liberation Serif" w:cs="Calibri"/>
          <w:sz w:val="24"/>
        </w:rPr>
        <w:t xml:space="preserve">les plus </w:t>
      </w:r>
      <w:r w:rsidR="007E6778">
        <w:rPr>
          <w:rFonts w:ascii="Liberation Serif" w:eastAsia="Calibri" w:hAnsi="Liberation Serif" w:cs="Calibri"/>
          <w:sz w:val="24"/>
        </w:rPr>
        <w:t>aisés</w:t>
      </w:r>
      <w:r w:rsidR="00B72371">
        <w:rPr>
          <w:rFonts w:ascii="Liberation Serif" w:eastAsia="Calibri" w:hAnsi="Liberation Serif" w:cs="Calibri"/>
          <w:sz w:val="24"/>
        </w:rPr>
        <w:t xml:space="preserve"> pourraient être mis à</w:t>
      </w:r>
      <w:r w:rsidR="00EE4DEA">
        <w:rPr>
          <w:rFonts w:ascii="Liberation Serif" w:eastAsia="Calibri" w:hAnsi="Liberation Serif" w:cs="Calibri"/>
          <w:sz w:val="24"/>
        </w:rPr>
        <w:t xml:space="preserve"> contribution</w:t>
      </w:r>
      <w:r w:rsidR="007E0406">
        <w:rPr>
          <w:rFonts w:ascii="Liberation Serif" w:eastAsia="Calibri" w:hAnsi="Liberation Serif" w:cs="Calibri"/>
          <w:sz w:val="24"/>
        </w:rPr>
        <w:t xml:space="preserve">. Mais 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13"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 xml:space="preserve">réduire drastiquement nos émissions de gaz à effet de serre. Le </w:t>
      </w:r>
      <w:hyperlink r:id="rId14" w:history="1">
        <w:r w:rsidR="007E0406">
          <w:rPr>
            <w:rStyle w:val="InternetLink"/>
            <w:rFonts w:ascii="Liberation Serif" w:eastAsia="Calibri" w:hAnsi="Liberation Serif" w:cs="Calibri"/>
            <w:sz w:val="24"/>
          </w:rPr>
          <w:t xml:space="preserve">scénario </w:t>
        </w:r>
        <w:proofErr w:type="spellStart"/>
        <w:r w:rsidR="007E0406">
          <w:rPr>
            <w:rStyle w:val="InternetLink"/>
            <w:rFonts w:ascii="Liberation Serif" w:eastAsia="Calibri" w:hAnsi="Liberation Serif" w:cs="Calibri"/>
            <w:sz w:val="24"/>
          </w:rPr>
          <w:t>négaWatt</w:t>
        </w:r>
        <w:proofErr w:type="spellEnd"/>
      </w:hyperlink>
      <w:r w:rsidR="007E0406">
        <w:rPr>
          <w:rFonts w:ascii="Liberation Serif" w:hAnsi="Liberation Serif"/>
          <w:sz w:val="24"/>
        </w:rPr>
        <w:t xml:space="preserve"> insiste sur les économies d’énergie rendues possibles par une révision à la baisse du dimensionnement de nos équipements ainsi que </w:t>
      </w:r>
      <w:r w:rsidR="00666FFE">
        <w:rPr>
          <w:rFonts w:ascii="Liberation Serif" w:hAnsi="Liberation Serif"/>
          <w:sz w:val="24"/>
        </w:rPr>
        <w:t xml:space="preserve">par </w:t>
      </w:r>
      <w:r w:rsidR="007E0406">
        <w:rPr>
          <w:rFonts w:ascii="Liberation Serif" w:hAnsi="Liberation Serif"/>
          <w:sz w:val="24"/>
        </w:rPr>
        <w:t xml:space="preserve">leur mutualisation, </w:t>
      </w:r>
      <w:r w:rsidR="00666FFE">
        <w:rPr>
          <w:rFonts w:ascii="Liberation Serif" w:hAnsi="Liberation Serif"/>
          <w:sz w:val="24"/>
        </w:rPr>
        <w:t xml:space="preserve">mais également par un allongement de leur </w:t>
      </w:r>
      <w:r w:rsidR="007E0406">
        <w:rPr>
          <w:rFonts w:ascii="Liberation Serif" w:hAnsi="Liberation Serif"/>
          <w:sz w:val="24"/>
        </w:rPr>
        <w:t xml:space="preserve">durée de </w:t>
      </w:r>
      <w:r w:rsidR="00666FFE">
        <w:rPr>
          <w:rFonts w:ascii="Liberation Serif" w:hAnsi="Liberation Serif"/>
          <w:sz w:val="24"/>
        </w:rPr>
        <w:t xml:space="preserve">vie. Le </w:t>
      </w:r>
      <w:hyperlink r:id="rId15"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1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17" w:history="1">
        <w:r w:rsidR="00E017DF" w:rsidRPr="00ED7B36">
          <w:rPr>
            <w:rStyle w:val="Hyperlink"/>
            <w:rFonts w:ascii="Liberation Serif" w:hAnsi="Liberation Serif"/>
            <w:sz w:val="24"/>
          </w:rPr>
          <w:t>10 Mds</w:t>
        </w:r>
      </w:hyperlink>
      <w:bookmarkStart w:id="1" w:name="_GoBack"/>
      <w:bookmarkEnd w:id="1"/>
      <w:r w:rsidR="00E017DF">
        <w:rPr>
          <w:rFonts w:ascii="Liberation Serif" w:hAnsi="Liberation Serif"/>
          <w:sz w:val="24"/>
        </w:rPr>
        <w:t xml:space="preserve"> annuels), selon une idée proche d’une </w:t>
      </w:r>
      <w:hyperlink r:id="rId1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L’offre de </w:t>
      </w:r>
      <w:hyperlink r:id="rId19" w:history="1">
        <w:r w:rsidR="00E017DF" w:rsidRPr="00D06289">
          <w:rPr>
            <w:rStyle w:val="Hyperlink"/>
            <w:rFonts w:ascii="Liberation Serif" w:hAnsi="Liberation Serif"/>
            <w:sz w:val="24"/>
          </w:rPr>
          <w:t>transports en commun</w:t>
        </w:r>
      </w:hyperlink>
      <w:r w:rsidR="00E017DF">
        <w:rPr>
          <w:rFonts w:ascii="Liberation Serif" w:hAnsi="Liberation Serif"/>
          <w:sz w:val="24"/>
        </w:rPr>
        <w:t xml:space="preserve"> devrait être étendue, </w:t>
      </w:r>
      <w:hyperlink r:id="rId20" w:history="1">
        <w:r w:rsidR="00E017DF" w:rsidRPr="00E017DF">
          <w:rPr>
            <w:rStyle w:val="Hyperlink"/>
            <w:rFonts w:ascii="Liberation Serif" w:hAnsi="Liberation Serif"/>
            <w:sz w:val="24"/>
          </w:rPr>
          <w:t>en particulier</w:t>
        </w:r>
      </w:hyperlink>
      <w:r w:rsidR="00E017DF">
        <w:rPr>
          <w:rFonts w:ascii="Liberation Serif" w:hAnsi="Liberation Serif"/>
          <w:sz w:val="24"/>
        </w:rPr>
        <w:t xml:space="preserve"> dans les villes moyennes (autour de 100</w:t>
      </w:r>
      <w:r w:rsidR="00E017DF">
        <w:rPr>
          <w:rFonts w:ascii="Liberation Serif" w:eastAsia="Calibri" w:hAnsi="Liberation Serif" w:cs="Calibri"/>
          <w:sz w:val="24"/>
        </w:rPr>
        <w:t xml:space="preserve"> 000 habitants), et l’usage du </w:t>
      </w:r>
      <w:hyperlink r:id="rId21" w:history="1">
        <w:r w:rsidR="00E017DF" w:rsidRPr="00D06289">
          <w:rPr>
            <w:rStyle w:val="Hyperlink"/>
            <w:rFonts w:ascii="Liberation Serif" w:eastAsia="Calibri" w:hAnsi="Liberation Serif" w:cs="Calibri"/>
            <w:sz w:val="24"/>
          </w:rPr>
          <w:t>vélo</w:t>
        </w:r>
      </w:hyperlink>
      <w:r w:rsidR="00E017DF">
        <w:rPr>
          <w:rFonts w:ascii="Liberation Serif" w:eastAsia="Calibri" w:hAnsi="Liberation Serif" w:cs="Calibri"/>
          <w:sz w:val="24"/>
        </w:rPr>
        <w:t xml:space="preserve"> devrait être facilité. Le kérosène pourrait être taxé, ainsi que toutes les sources de gaz à effet de serre, et les recettes générées pourraient être </w:t>
      </w:r>
      <w:hyperlink r:id="rId22" w:history="1">
        <w:r w:rsidR="00E017DF" w:rsidRPr="007E6778">
          <w:rPr>
            <w:rStyle w:val="Hyperlink"/>
            <w:rFonts w:ascii="Liberation Serif" w:eastAsia="Calibri" w:hAnsi="Liberation Serif" w:cs="Calibri"/>
            <w:sz w:val="24"/>
          </w:rPr>
          <w:t>reversées</w:t>
        </w:r>
      </w:hyperlink>
      <w:r w:rsidR="00E017DF">
        <w:rPr>
          <w:rFonts w:ascii="Liberation Serif" w:eastAsia="Calibri" w:hAnsi="Liberation Serif" w:cs="Calibri"/>
          <w:sz w:val="24"/>
        </w:rPr>
        <w:t xml:space="preserve"> à la moitié des ménages les plus modestes.</w:t>
      </w:r>
      <w:r w:rsidR="007E6778">
        <w:rPr>
          <w:rFonts w:ascii="Liberation Serif" w:eastAsia="Calibri" w:hAnsi="Liberation Serif" w:cs="Calibri"/>
          <w:sz w:val="24"/>
        </w:rPr>
        <w:t xml:space="preserve"> Malgré ces quelques pistes,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commentRangeStart w:id="2"/>
      <w:r>
        <w:rPr>
          <w:rFonts w:ascii="Liberation Serif" w:eastAsia="Calibri" w:hAnsi="Liberation Serif" w:cs="Calibri"/>
          <w:sz w:val="24"/>
        </w:rPr>
        <w:t>.</w:t>
      </w:r>
      <w:commentRangeEnd w:id="2"/>
      <w:r w:rsidR="00EE4DEA">
        <w:rPr>
          <w:rStyle w:val="CommentReference"/>
          <w:rFonts w:cs="Mangal"/>
        </w:rPr>
        <w:commentReference w:id="2"/>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3"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24"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w:t>
      </w:r>
      <w:r w:rsidR="00A33966">
        <w:rPr>
          <w:rFonts w:ascii="Liberation Serif" w:eastAsia="Calibri" w:hAnsi="Liberation Serif" w:cs="Calibri"/>
          <w:sz w:val="24"/>
        </w:rPr>
        <w:t>Dans un contexte de chômage élevé et de taux d’intérêt proches de zéro, une telle approche permettrait de créer des emplois sans risque d’inflation et sans constituer un fardeau pour les contribuables futurs</w:t>
      </w:r>
      <w:commentRangeStart w:id="3"/>
      <w:r w:rsidR="00A33966">
        <w:rPr>
          <w:rFonts w:ascii="Liberation Serif" w:eastAsia="Calibri" w:hAnsi="Liberation Serif" w:cs="Calibri"/>
          <w:sz w:val="24"/>
        </w:rPr>
        <w:t>.</w:t>
      </w:r>
      <w:commentRangeEnd w:id="3"/>
      <w:r w:rsidR="005A6B91">
        <w:rPr>
          <w:rStyle w:val="CommentReference"/>
          <w:rFonts w:cs="Mangal"/>
        </w:rPr>
        <w:commentReference w:id="3"/>
      </w:r>
      <w:r w:rsidR="00A33966">
        <w:rPr>
          <w:rFonts w:ascii="Liberation Serif" w:eastAsia="Calibri" w:hAnsi="Liberation Serif" w:cs="Calibri"/>
          <w:sz w:val="24"/>
        </w:rPr>
        <w:t xml:space="preserve">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p w:rsidR="007E6778" w:rsidRPr="007E6778" w:rsidRDefault="007E6778" w:rsidP="00B24C8E">
      <w:pPr>
        <w:spacing w:after="200" w:line="276" w:lineRule="exact"/>
        <w:jc w:val="both"/>
        <w:rPr>
          <w:rFonts w:ascii="Liberation Serif" w:eastAsia="Calibri" w:hAnsi="Liberation Serif" w:cs="Calibri"/>
          <w:b/>
          <w:sz w:val="24"/>
        </w:rPr>
      </w:pPr>
      <w:r w:rsidRPr="007E6778">
        <w:rPr>
          <w:rFonts w:ascii="Liberation Serif" w:eastAsia="Calibri" w:hAnsi="Liberation Serif" w:cs="Calibri"/>
          <w:b/>
          <w:sz w:val="24"/>
        </w:rPr>
        <w:t>Aux oubliettes</w:t>
      </w:r>
    </w:p>
    <w:p w:rsidR="00D20917" w:rsidRDefault="00D20917"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Not : Perdants (si c’est efficace, les plus polluants) ; consommateurs pas entreprises</w:t>
      </w:r>
    </w:p>
    <w:p w:rsidR="00D20917" w:rsidRDefault="00D20917" w:rsidP="00B24C8E">
      <w:pPr>
        <w:spacing w:after="200" w:line="276" w:lineRule="exact"/>
        <w:jc w:val="both"/>
        <w:rPr>
          <w:rFonts w:ascii="Liberation Serif" w:hAnsi="Liberation Serif"/>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w:t>
      </w:r>
      <w:r>
        <w:rPr>
          <w:rFonts w:ascii="Liberation Serif" w:eastAsia="Calibri" w:hAnsi="Liberation Serif" w:cs="Calibri"/>
          <w:sz w:val="24"/>
        </w:rPr>
        <w:lastRenderedPageBreak/>
        <w:t>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2A1BB7"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26"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27"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28" w:history="1">
        <w:r w:rsidR="00B24C8E">
          <w:rPr>
            <w:rStyle w:val="InternetLink"/>
            <w:rFonts w:ascii="Liberation Serif" w:hAnsi="Liberation Serif"/>
            <w:sz w:val="24"/>
          </w:rPr>
          <w:t>propose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lastRenderedPageBreak/>
        <w:tab/>
        <w:t>Cela dit, cette simulation risque de ne pas suffire à convaincre les gens qu’ils pourraient sortir gagnants de l’instauration d’une taxe, car une grande méfiance s’est installée envers toute forme de taxation des carburants. Ainsi, même si 61 % des gens gagneraient en pouvoir d’achat suite à une taxe &amp; dividende uniforme, seuls 14 % 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rsidR="002A1BB7">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2A1BB7">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lastRenderedPageBreak/>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53688A" w:rsidRPr="00B24C8E" w:rsidRDefault="00B24C8E" w:rsidP="00B24C8E">
      <w:pPr>
        <w:pStyle w:val="ListParagraph"/>
        <w:numPr>
          <w:ilvl w:val="0"/>
          <w:numId w:val="1"/>
        </w:numPr>
        <w:spacing w:after="200" w:line="276" w:lineRule="exact"/>
        <w:jc w:val="both"/>
      </w:pPr>
      <w:r w:rsidRPr="00510AE2">
        <w:rPr>
          <w:rFonts w:ascii="Liberation Serif" w:hAnsi="Liberation Serif"/>
          <w:sz w:val="24"/>
        </w:rPr>
        <w:t>Remplacement de la taxe de publicité foncière par obligation rénovation (10 Mds €)</w:t>
      </w:r>
    </w:p>
    <w:sectPr w:rsidR="0053688A" w:rsidRPr="00B24C8E">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2T21:45:00Z" w:initials="AF">
    <w:p w:rsidR="00D06289" w:rsidRDefault="00D06289">
      <w:pPr>
        <w:pStyle w:val="CommentText"/>
      </w:pPr>
      <w:r>
        <w:rPr>
          <w:rStyle w:val="CommentReference"/>
        </w:rPr>
        <w:annotationRef/>
      </w:r>
      <w:r>
        <w:t>Economiste ?</w:t>
      </w:r>
    </w:p>
  </w:comment>
  <w:comment w:id="2" w:author="Adrien" w:date="2019-11-02T22:26:00Z" w:initials="AF">
    <w:p w:rsidR="00EE4DEA" w:rsidRDefault="00EE4DEA">
      <w:pPr>
        <w:pStyle w:val="CommentText"/>
        <w:rPr>
          <w:rFonts w:ascii="Liberation Serif" w:eastAsia="Calibri" w:hAnsi="Liberation Serif" w:cs="Calibri"/>
          <w:sz w:val="24"/>
        </w:rPr>
      </w:pPr>
      <w:r>
        <w:rPr>
          <w:rStyle w:val="CommentReference"/>
        </w:rPr>
        <w:annotationRef/>
      </w:r>
      <w:r>
        <w:rPr>
          <w:rFonts w:ascii="Liberation Serif" w:eastAsia="Calibri" w:hAnsi="Liberation Serif" w:cs="Calibri"/>
          <w:sz w:val="24"/>
        </w:rPr>
        <w:t xml:space="preserve">Même si on lit </w:t>
      </w:r>
      <w:hyperlink r:id="rId1"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3" w:history="1">
        <w:r>
          <w:rPr>
            <w:rStyle w:val="InternetLink"/>
            <w:rFonts w:ascii="Liberation Serif" w:hAnsi="Liberation Serif"/>
            <w:sz w:val="24"/>
          </w:rPr>
          <w:t>Pacte Finance-</w:t>
        </w:r>
        <w:proofErr w:type="spellStart"/>
        <w:r>
          <w:rPr>
            <w:rStyle w:val="InternetLink"/>
            <w:rFonts w:ascii="Liberation Serif" w:hAnsi="Liberation Serif"/>
            <w:sz w:val="24"/>
          </w:rPr>
          <w:t>Cli</w:t>
        </w:r>
        <w:proofErr w:type="spellEnd"/>
        <w:r w:rsidR="005A6B91">
          <w:rPr>
            <w:rStyle w:val="InternetLink"/>
            <w:rFonts w:ascii="Liberation Serif" w:hAnsi="Liberation Serif"/>
            <w:sz w:val="24"/>
          </w:rPr>
          <w:tab/>
        </w:r>
        <w:r>
          <w:rPr>
            <w:rStyle w:val="InternetLink"/>
            <w:rFonts w:ascii="Liberation Serif" w:hAnsi="Liberation Serif"/>
            <w:sz w:val="24"/>
          </w:rPr>
          <w:t>m</w:t>
        </w:r>
        <w:r>
          <w:rPr>
            <w:rStyle w:val="InternetLink"/>
            <w:rFonts w:ascii="Liberation Serif" w:hAnsi="Liberation Serif"/>
            <w:sz w:val="24"/>
          </w:rPr>
          <w:t>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w:t>
      </w:r>
    </w:p>
    <w:p w:rsidR="00A33966" w:rsidRDefault="00A33966">
      <w:pPr>
        <w:pStyle w:val="CommentText"/>
        <w:rPr>
          <w:rFonts w:ascii="Liberation Serif" w:eastAsia="Calibri" w:hAnsi="Liberation Serif" w:cs="Calibri"/>
          <w:sz w:val="24"/>
        </w:rPr>
      </w:pPr>
    </w:p>
    <w:p w:rsidR="00A33966" w:rsidRDefault="00A33966">
      <w:pPr>
        <w:pStyle w:val="CommentText"/>
      </w:pPr>
      <w:r>
        <w:rPr>
          <w:rFonts w:ascii="Liberation Serif" w:eastAsia="Calibri" w:hAnsi="Liberation Serif" w:cs="Calibri"/>
          <w:sz w:val="24"/>
        </w:rPr>
        <w:t>Outre la mise à contribution des plus riches déjà évoquée, l</w:t>
      </w:r>
    </w:p>
  </w:comment>
  <w:comment w:id="3" w:author="Adrien" w:date="2019-11-02T22:28:00Z" w:initials="AF">
    <w:p w:rsidR="005A6B91" w:rsidRDefault="005A6B91" w:rsidP="005A6B91">
      <w:pPr>
        <w:spacing w:after="200" w:line="276" w:lineRule="exact"/>
        <w:ind w:firstLine="709"/>
        <w:jc w:val="both"/>
        <w:rPr>
          <w:rFonts w:ascii="Liberation Serif" w:hAnsi="Liberation Serif"/>
          <w:sz w:val="24"/>
        </w:rPr>
      </w:pPr>
      <w:r>
        <w:rPr>
          <w:rStyle w:val="CommentReference"/>
        </w:rPr>
        <w:annotationRef/>
      </w:r>
      <w:r>
        <w:rPr>
          <w:rFonts w:ascii="Liberation Serif" w:eastAsia="Calibri" w:hAnsi="Liberation Serif" w:cs="Calibri"/>
          <w:sz w:val="24"/>
        </w:rPr>
        <w:t xml:space="preserve">Si le gouvernement refuse une telle proposition sous prétexte qu’elle enfreindrait la règle d’or budgétaire européenne (règle par ailleurs controversée), le financement pourra se reposer sur la mise à contribution des plus riches évoquée plus haut. Quoi qu’il en soit, la convention ne devrait pas s’inquiéter de cette question du financement,  car sa </w:t>
      </w:r>
      <w:hyperlink r:id="rId4" w:history="1">
        <w:r>
          <w:rPr>
            <w:rStyle w:val="InternetLink"/>
            <w:rFonts w:ascii="Liberation Serif" w:hAnsi="Liberation Serif"/>
            <w:sz w:val="24"/>
          </w:rPr>
          <w:t>lettre de mission</w:t>
        </w:r>
      </w:hyperlink>
      <w:r>
        <w:rPr>
          <w:rFonts w:ascii="Liberation Serif" w:eastAsia="Calibri" w:hAnsi="Liberation Serif" w:cs="Calibri"/>
          <w:sz w:val="24"/>
        </w:rPr>
        <w:t xml:space="preserve"> ne stipule pas que chaque dépense proposée doive être adossée à des recettes correspondantes.</w:t>
      </w:r>
    </w:p>
    <w:p w:rsidR="005A6B91" w:rsidRDefault="005A6B9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BB7" w:rsidRDefault="002A1BB7">
      <w:r>
        <w:separator/>
      </w:r>
    </w:p>
  </w:endnote>
  <w:endnote w:type="continuationSeparator" w:id="0">
    <w:p w:rsidR="002A1BB7" w:rsidRDefault="002A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BB7" w:rsidRDefault="002A1BB7">
      <w:r>
        <w:separator/>
      </w:r>
    </w:p>
  </w:footnote>
  <w:footnote w:type="continuationSeparator" w:id="0">
    <w:p w:rsidR="002A1BB7" w:rsidRDefault="002A1BB7">
      <w:r>
        <w:continuationSeparator/>
      </w:r>
    </w:p>
  </w:footnote>
  <w:footnote w:id="1">
    <w:p w:rsidR="00B24C8E" w:rsidRDefault="00B24C8E" w:rsidP="00B24C8E">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11761F"/>
    <w:rsid w:val="00240EBD"/>
    <w:rsid w:val="00250F01"/>
    <w:rsid w:val="00256A4E"/>
    <w:rsid w:val="002872A3"/>
    <w:rsid w:val="002A1BB7"/>
    <w:rsid w:val="002F6EBE"/>
    <w:rsid w:val="00350348"/>
    <w:rsid w:val="00493B0E"/>
    <w:rsid w:val="004A30BD"/>
    <w:rsid w:val="00510AE2"/>
    <w:rsid w:val="0053688A"/>
    <w:rsid w:val="005A6B91"/>
    <w:rsid w:val="00666FFE"/>
    <w:rsid w:val="00695F10"/>
    <w:rsid w:val="006C06B0"/>
    <w:rsid w:val="007901E8"/>
    <w:rsid w:val="007B06FA"/>
    <w:rsid w:val="007E0406"/>
    <w:rsid w:val="007E6778"/>
    <w:rsid w:val="00800A1F"/>
    <w:rsid w:val="00835BBF"/>
    <w:rsid w:val="00854134"/>
    <w:rsid w:val="00881A53"/>
    <w:rsid w:val="00A33966"/>
    <w:rsid w:val="00B24C8E"/>
    <w:rsid w:val="00B7113E"/>
    <w:rsid w:val="00B72371"/>
    <w:rsid w:val="00CA3B82"/>
    <w:rsid w:val="00D06289"/>
    <w:rsid w:val="00D20917"/>
    <w:rsid w:val="00D40FFE"/>
    <w:rsid w:val="00DD3F05"/>
    <w:rsid w:val="00E017DF"/>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acte-climat.eu/fr/un-projet-de-traite/" TargetMode="External"/><Relationship Id="rId2" Type="http://schemas.openxmlformats.org/officeDocument/2006/relationships/hyperlink" Target="https://www.conventioncitoyennepourleclimat.fr/wp-content/uploads/2019/09/lettre-de-mission.pdf" TargetMode="External"/><Relationship Id="rId1"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hyperlink" Target="https://www.conventioncitoyennepourleclimat.fr/wp-content/uploads/2019/09/lettre-de-mission.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reenclimate.fund/how-we-work/resource-mobilization" TargetMode="External"/><Relationship Id="rId18" Type="http://schemas.openxmlformats.org/officeDocument/2006/relationships/hyperlink" Target="https://contribuez.conventioncitoyennepourleclimat.fr/processes/se-loger/f/5/proposals/259" TargetMode="External"/><Relationship Id="rId26" Type="http://schemas.openxmlformats.org/officeDocument/2006/relationships/hyperlink" Target="http://www.cae-eco.fr/IMG/pdf/cae-note050v2.pdf" TargetMode="External"/><Relationship Id="rId3" Type="http://schemas.openxmlformats.org/officeDocument/2006/relationships/styles" Target="styles.xml"/><Relationship Id="rId21" Type="http://schemas.openxmlformats.org/officeDocument/2006/relationships/hyperlink" Target="https://theshiftproject.org/article/plan-velo-peut-beaucoup-mieux-faire/"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deepdecarbonization.org/wp-content/uploads/2015/09/DDPP_FRA.pdf"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heshiftproject.org/wp-content/uploads/2017/05/tsp_-_gt_renovation_thermique_du_batiment_v3.4.pdf" TargetMode="External"/><Relationship Id="rId20"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epii.fr/PDF_PUB/pb/2015/pb2015-06.pdf" TargetMode="External"/><Relationship Id="rId5" Type="http://schemas.openxmlformats.org/officeDocument/2006/relationships/settings" Target="settings.xml"/><Relationship Id="rId15" Type="http://schemas.openxmlformats.org/officeDocument/2006/relationships/hyperlink" Target="https://negawatt.org/telechargement/Docs/Sidler%20Renovation%20final%201107.pdf" TargetMode="External"/><Relationship Id="rId23" Type="http://schemas.openxmlformats.org/officeDocument/2006/relationships/hyperlink" Target="https://www.pacte-climat.eu/fr/un-projet-de-traite/" TargetMode="External"/><Relationship Id="rId28" Type="http://schemas.openxmlformats.org/officeDocument/2006/relationships/hyperlink" Target="http://www.cae-eco.fr/IMG/pdf/cae-note050v2.pdf" TargetMode="External"/><Relationship Id="rId10" Type="http://schemas.openxmlformats.org/officeDocument/2006/relationships/comments" Target="comments.xml"/><Relationship Id="rId19" Type="http://schemas.openxmlformats.org/officeDocument/2006/relationships/hyperlink" Target="https://theshiftproject.org/wp-content/uploads/2017/09/2017-09-14_RAPPORT-D%C3%A9carboner-la-mobilit%C3%A9-dans-les-zones-de-moyenne-densit%C3%A9_TSP_WEB-V2.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negawatt.org/IMG/pdf/synthese_scenario-negawatt_2017-2050.pdf" TargetMode="External"/><Relationship Id="rId22" Type="http://schemas.openxmlformats.org/officeDocument/2006/relationships/hyperlink" Target="http://www.cae-eco.fr/IMG/pdf/cae-note050v2.pdf" TargetMode="External"/><Relationship Id="rId27" Type="http://schemas.openxmlformats.org/officeDocument/2006/relationships/hyperlink" Target="https://www.clcouncil.org/media/EconomistsStatemen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3A8B4-3C3E-4C3F-B361-8D5D551F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46</cp:revision>
  <dcterms:created xsi:type="dcterms:W3CDTF">2019-10-24T17:39:00Z</dcterms:created>
  <dcterms:modified xsi:type="dcterms:W3CDTF">2019-11-03T02:52:00Z</dcterms:modified>
  <dc:language>fr-FR</dc:language>
</cp:coreProperties>
</file>