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8E" w:rsidRDefault="00B24C8E" w:rsidP="00B24C8E">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populaires pour la convention citoyenne sur le climat</w:t>
      </w:r>
    </w:p>
    <w:p w:rsidR="00B24C8E" w:rsidRDefault="00B24C8E" w:rsidP="00B24C8E">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 (&amp; Thomas Douenne ?)</w:t>
      </w: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sidR="0083065F">
        <w:rPr>
          <w:rFonts w:ascii="Liberation Serif" w:eastAsia="Calibri" w:hAnsi="Liberation Serif" w:cs="Calibri"/>
          <w:sz w:val="24"/>
        </w:rPr>
        <w:t xml:space="preserve">Les </w:t>
      </w:r>
      <w:r>
        <w:rPr>
          <w:rFonts w:ascii="Liberation Serif" w:eastAsia="Calibri" w:hAnsi="Liberation Serif" w:cs="Calibri"/>
          <w:sz w:val="24"/>
        </w:rPr>
        <w:t xml:space="preserve">150 citoyennes et citoyens tirés au sort </w:t>
      </w:r>
      <w:r w:rsidR="0083065F">
        <w:rPr>
          <w:rFonts w:ascii="Liberation Serif" w:eastAsia="Calibri" w:hAnsi="Liberation Serif" w:cs="Calibri"/>
          <w:sz w:val="24"/>
        </w:rPr>
        <w:t xml:space="preserve">qui </w:t>
      </w:r>
      <w:r>
        <w:rPr>
          <w:rFonts w:ascii="Liberation Serif" w:eastAsia="Calibri" w:hAnsi="Liberation Serif" w:cs="Calibri"/>
          <w:sz w:val="24"/>
        </w:rPr>
        <w:t>mettent au point les mesures nécessaires pour rendre notre société soutenable</w:t>
      </w:r>
      <w:r w:rsidR="0083065F" w:rsidRPr="0083065F">
        <w:rPr>
          <w:rFonts w:ascii="Liberation Serif" w:eastAsia="Calibri" w:hAnsi="Liberation Serif" w:cs="Calibri"/>
          <w:sz w:val="24"/>
        </w:rPr>
        <w:t xml:space="preserve"> </w:t>
      </w:r>
      <w:r w:rsidR="0083065F">
        <w:rPr>
          <w:rFonts w:ascii="Liberation Serif" w:eastAsia="Calibri" w:hAnsi="Liberation Serif" w:cs="Calibri"/>
          <w:sz w:val="24"/>
        </w:rPr>
        <w:t>effectuent un travail remarquable</w:t>
      </w:r>
      <w:r w:rsidR="0083065F">
        <w:rPr>
          <w:rFonts w:ascii="Liberation Serif" w:eastAsia="Calibri" w:hAnsi="Liberation Serif" w:cs="Calibri"/>
          <w:sz w:val="24"/>
        </w:rPr>
        <w:t>, comme le montrent</w:t>
      </w:r>
      <w:r>
        <w:rPr>
          <w:rFonts w:ascii="Liberation Serif" w:eastAsia="Calibri" w:hAnsi="Liberation Serif" w:cs="Calibri"/>
          <w:sz w:val="24"/>
        </w:rPr>
        <w:t xml:space="preserve"> </w:t>
      </w:r>
      <w:hyperlink r:id="rId9" w:history="1">
        <w:r w:rsidR="0083065F">
          <w:rPr>
            <w:rStyle w:val="InternetLink"/>
            <w:rFonts w:ascii="Liberation Serif" w:hAnsi="Liberation Serif"/>
            <w:sz w:val="24"/>
          </w:rPr>
          <w:t>leurs débats</w:t>
        </w:r>
      </w:hyperlink>
      <w:r>
        <w:rPr>
          <w:rFonts w:ascii="Liberation Serif" w:eastAsia="Calibri" w:hAnsi="Liberation Serif" w:cs="Calibri"/>
          <w:sz w:val="24"/>
        </w:rPr>
        <w:t xml:space="preserve">, </w:t>
      </w:r>
      <w:r w:rsidR="0083065F">
        <w:rPr>
          <w:rFonts w:ascii="Liberation Serif" w:eastAsia="Calibri" w:hAnsi="Liberation Serif" w:cs="Calibri"/>
          <w:sz w:val="24"/>
        </w:rPr>
        <w:t xml:space="preserve">travail </w:t>
      </w:r>
      <w:r>
        <w:rPr>
          <w:rFonts w:ascii="Liberation Serif" w:eastAsia="Calibri" w:hAnsi="Liberation Serif" w:cs="Calibri"/>
          <w:sz w:val="24"/>
        </w:rPr>
        <w:t xml:space="preserve">prometteur tant pour la transition écologique que pour la démocratisation de l’écriture </w:t>
      </w:r>
      <w:r w:rsidR="00D20917">
        <w:rPr>
          <w:rFonts w:ascii="Liberation Serif" w:eastAsia="Calibri" w:hAnsi="Liberation Serif" w:cs="Calibri"/>
          <w:sz w:val="24"/>
        </w:rPr>
        <w:t xml:space="preserve">des lois. En tant que </w:t>
      </w:r>
      <w:r w:rsidR="000825CB">
        <w:rPr>
          <w:rFonts w:ascii="Liberation Serif" w:eastAsia="Calibri" w:hAnsi="Liberation Serif" w:cs="Calibri"/>
          <w:sz w:val="24"/>
        </w:rPr>
        <w:t>doctorant</w:t>
      </w:r>
      <w:commentRangeStart w:id="0"/>
      <w:r>
        <w:rPr>
          <w:rFonts w:ascii="Liberation Serif" w:eastAsia="Calibri" w:hAnsi="Liberation Serif" w:cs="Calibri"/>
          <w:sz w:val="24"/>
        </w:rPr>
        <w:t xml:space="preserve"> en sciences sociales</w:t>
      </w:r>
      <w:commentRangeEnd w:id="0"/>
      <w:r w:rsidR="00D06289">
        <w:rPr>
          <w:rStyle w:val="CommentReference"/>
          <w:rFonts w:cs="Mangal"/>
        </w:rPr>
        <w:commentReference w:id="0"/>
      </w:r>
      <w:r>
        <w:rPr>
          <w:rFonts w:ascii="Liberation Serif" w:eastAsia="Calibri" w:hAnsi="Liberation Serif" w:cs="Calibri"/>
          <w:sz w:val="24"/>
        </w:rPr>
        <w:t xml:space="preserve">, </w:t>
      </w:r>
      <w:r w:rsidR="00D20917">
        <w:rPr>
          <w:rFonts w:ascii="Liberation Serif" w:eastAsia="Calibri" w:hAnsi="Liberation Serif" w:cs="Calibri"/>
          <w:sz w:val="24"/>
        </w:rPr>
        <w:t>j’ai</w:t>
      </w:r>
      <w:r>
        <w:rPr>
          <w:rFonts w:ascii="Liberation Serif" w:eastAsia="Calibri" w:hAnsi="Liberation Serif" w:cs="Calibri"/>
          <w:sz w:val="24"/>
        </w:rPr>
        <w:t xml:space="preserve"> </w:t>
      </w:r>
      <w:r w:rsidR="000825CB">
        <w:rPr>
          <w:rFonts w:ascii="Liberation Serif" w:eastAsia="Calibri" w:hAnsi="Liberation Serif" w:cs="Calibri"/>
          <w:sz w:val="24"/>
        </w:rPr>
        <w:t>réalisé avec mon collègue Thomas Douenne</w:t>
      </w:r>
      <w:r>
        <w:rPr>
          <w:rFonts w:ascii="Liberation Serif" w:eastAsia="Calibri" w:hAnsi="Liberation Serif" w:cs="Calibri"/>
          <w:sz w:val="24"/>
        </w:rPr>
        <w:t xml:space="preserve"> une enquête représentative sur 3000 Françaises et Français pour comprendre leurs préférences en matière de politiques climatiques. En communiquant </w:t>
      </w:r>
      <w:r w:rsidR="00D20917">
        <w:rPr>
          <w:rFonts w:ascii="Liberation Serif" w:eastAsia="Calibri" w:hAnsi="Liberation Serif" w:cs="Calibri"/>
          <w:sz w:val="24"/>
        </w:rPr>
        <w:t>certains</w:t>
      </w:r>
      <w:r>
        <w:rPr>
          <w:rFonts w:ascii="Liberation Serif" w:eastAsia="Calibri" w:hAnsi="Liberation Serif" w:cs="Calibri"/>
          <w:sz w:val="24"/>
        </w:rPr>
        <w:t xml:space="preserve"> enseignements de </w:t>
      </w:r>
      <w:hyperlink r:id="rId11" w:history="1">
        <w:r w:rsidR="00D20917" w:rsidRPr="00C06C60">
          <w:rPr>
            <w:rStyle w:val="Hyperlink"/>
            <w:rFonts w:ascii="Liberation Serif" w:eastAsia="Calibri" w:hAnsi="Liberation Serif" w:cs="Calibri"/>
            <w:sz w:val="24"/>
          </w:rPr>
          <w:t>ce</w:t>
        </w:r>
        <w:r w:rsidRPr="00C06C60">
          <w:rPr>
            <w:rStyle w:val="Hyperlink"/>
            <w:rFonts w:ascii="Liberation Serif" w:eastAsia="Calibri" w:hAnsi="Liberation Serif" w:cs="Calibri"/>
            <w:sz w:val="24"/>
          </w:rPr>
          <w:t xml:space="preserve"> trava</w:t>
        </w:r>
        <w:r w:rsidR="00D20917" w:rsidRPr="00C06C60">
          <w:rPr>
            <w:rStyle w:val="Hyperlink"/>
            <w:rFonts w:ascii="Liberation Serif" w:eastAsia="Calibri" w:hAnsi="Liberation Serif" w:cs="Calibri"/>
            <w:sz w:val="24"/>
          </w:rPr>
          <w:t>il</w:t>
        </w:r>
      </w:hyperlink>
      <w:r>
        <w:rPr>
          <w:rFonts w:ascii="Liberation Serif" w:eastAsia="Calibri" w:hAnsi="Liberation Serif" w:cs="Calibri"/>
          <w:sz w:val="24"/>
        </w:rPr>
        <w:t xml:space="preserve"> et en livrant </w:t>
      </w:r>
      <w:r w:rsidR="0083065F">
        <w:rPr>
          <w:rFonts w:ascii="Liberation Serif" w:eastAsia="Calibri" w:hAnsi="Liberation Serif" w:cs="Calibri"/>
          <w:sz w:val="24"/>
        </w:rPr>
        <w:t>des propositions</w:t>
      </w:r>
      <w:r>
        <w:rPr>
          <w:rFonts w:ascii="Liberation Serif" w:eastAsia="Calibri" w:hAnsi="Liberation Serif" w:cs="Calibri"/>
          <w:sz w:val="24"/>
        </w:rPr>
        <w:t xml:space="preserve"> que </w:t>
      </w:r>
      <w:r w:rsidR="00D20917">
        <w:rPr>
          <w:rFonts w:ascii="Liberation Serif" w:eastAsia="Calibri" w:hAnsi="Liberation Serif" w:cs="Calibri"/>
          <w:sz w:val="24"/>
        </w:rPr>
        <w:t>j</w:t>
      </w:r>
      <w:r w:rsidR="00D40FFE">
        <w:rPr>
          <w:rFonts w:ascii="Liberation Serif" w:eastAsia="Calibri" w:hAnsi="Liberation Serif" w:cs="Calibri"/>
          <w:sz w:val="24"/>
        </w:rPr>
        <w:t>e</w:t>
      </w:r>
      <w:r>
        <w:rPr>
          <w:rFonts w:ascii="Liberation Serif" w:eastAsia="Calibri" w:hAnsi="Liberation Serif" w:cs="Calibri"/>
          <w:sz w:val="24"/>
        </w:rPr>
        <w:t xml:space="preserve"> tir</w:t>
      </w:r>
      <w:r w:rsidR="00D20917">
        <w:rPr>
          <w:rFonts w:ascii="Liberation Serif" w:eastAsia="Calibri" w:hAnsi="Liberation Serif" w:cs="Calibri"/>
          <w:sz w:val="24"/>
        </w:rPr>
        <w:t>e</w:t>
      </w:r>
      <w:r>
        <w:rPr>
          <w:rFonts w:ascii="Liberation Serif" w:eastAsia="Calibri" w:hAnsi="Liberation Serif" w:cs="Calibri"/>
          <w:sz w:val="24"/>
        </w:rPr>
        <w:t xml:space="preserve"> personnellement</w:t>
      </w:r>
      <w:r w:rsidR="00D40FFE">
        <w:rPr>
          <w:rFonts w:ascii="Liberation Serif" w:eastAsia="Calibri" w:hAnsi="Liberation Serif" w:cs="Calibri"/>
          <w:sz w:val="24"/>
        </w:rPr>
        <w:t xml:space="preserve"> de mes recherches</w:t>
      </w:r>
      <w:r>
        <w:rPr>
          <w:rFonts w:ascii="Liberation Serif" w:eastAsia="Calibri" w:hAnsi="Liberation Serif" w:cs="Calibri"/>
          <w:sz w:val="24"/>
        </w:rPr>
        <w:t xml:space="preserve">, </w:t>
      </w:r>
      <w:r w:rsidR="00D20917">
        <w:rPr>
          <w:rFonts w:ascii="Liberation Serif" w:eastAsia="Calibri" w:hAnsi="Liberation Serif" w:cs="Calibri"/>
          <w:sz w:val="24"/>
        </w:rPr>
        <w:t>j’</w:t>
      </w:r>
      <w:r>
        <w:rPr>
          <w:rFonts w:ascii="Liberation Serif" w:eastAsia="Calibri" w:hAnsi="Liberation Serif" w:cs="Calibri"/>
          <w:sz w:val="24"/>
        </w:rPr>
        <w:t>esp</w:t>
      </w:r>
      <w:r w:rsidR="00D20917">
        <w:rPr>
          <w:rFonts w:ascii="Liberation Serif" w:eastAsia="Calibri" w:hAnsi="Liberation Serif" w:cs="Calibri"/>
          <w:sz w:val="24"/>
        </w:rPr>
        <w:t>ère</w:t>
      </w:r>
      <w:r>
        <w:rPr>
          <w:rFonts w:ascii="Liberation Serif" w:eastAsia="Calibri" w:hAnsi="Liberation Serif" w:cs="Calibri"/>
          <w:sz w:val="24"/>
        </w:rPr>
        <w:t xml:space="preserve"> contribuer à l’intelligence collective de la convention citoyenne.</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sidR="000825CB">
        <w:rPr>
          <w:noProof/>
          <w:lang w:val="en-US" w:eastAsia="en-US" w:bidi="ar-SA"/>
        </w:rPr>
        <mc:AlternateContent>
          <mc:Choice Requires="wps">
            <w:drawing>
              <wp:anchor distT="0" distB="0" distL="0" distR="0" simplePos="0" relativeHeight="251656192" behindDoc="0" locked="0" layoutInCell="1" allowOverlap="1">
                <wp:simplePos x="0" y="0"/>
                <wp:positionH relativeFrom="column">
                  <wp:align>center</wp:align>
                </wp:positionH>
                <wp:positionV relativeFrom="paragraph">
                  <wp:posOffset>635</wp:posOffset>
                </wp:positionV>
                <wp:extent cx="4970780" cy="857250"/>
                <wp:effectExtent l="0" t="635" r="1270" b="0"/>
                <wp:wrapSquare wrapText="bothSides"/>
                <wp:docPr id="5"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078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5pt;width:391.4pt;height:67.5pt;z-index:251656192;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v:textbox>
                <w10:wrap type="square"/>
              </v:shape>
            </w:pict>
          </mc:Fallback>
        </mc:AlternateContent>
      </w: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Tout d’abord, la population française est largement consciente du changement climatique, et </w:t>
      </w:r>
      <w:proofErr w:type="gramStart"/>
      <w:r>
        <w:rPr>
          <w:rFonts w:ascii="Liberation Serif" w:eastAsia="Calibri" w:hAnsi="Liberation Serif" w:cs="Calibri"/>
          <w:sz w:val="24"/>
        </w:rPr>
        <w:t>inquiète</w:t>
      </w:r>
      <w:proofErr w:type="gramEnd"/>
      <w:r>
        <w:rPr>
          <w:rFonts w:ascii="Liberation Serif" w:eastAsia="Calibri" w:hAnsi="Liberation Serif" w:cs="Calibri"/>
          <w:sz w:val="24"/>
        </w:rPr>
        <w:t xml:space="preserve"> de ses conséquences (Figure 1). Et ce, même si la plupart des gens ignore des faits scientifiques basiques tels que l’importance des émissions engendrées par la consommation de viande rouge, ou </w:t>
      </w:r>
      <w:r w:rsidR="0083065F">
        <w:rPr>
          <w:rFonts w:ascii="Liberation Serif" w:eastAsia="Calibri" w:hAnsi="Liberation Serif" w:cs="Calibri"/>
          <w:sz w:val="24"/>
        </w:rPr>
        <w:t>le fait qu’on doive diviser nos émissions de gaz à effet de serre par au moins 5 d’ici 2050</w:t>
      </w:r>
      <w:r>
        <w:rPr>
          <w:rFonts w:ascii="Liberation Serif" w:eastAsia="Calibri" w:hAnsi="Liberation Serif" w:cs="Calibri"/>
          <w:sz w:val="24"/>
        </w:rPr>
        <w:t xml:space="preserve"> pour espérer contenir le réchauffement climatique à +2°C en </w:t>
      </w:r>
      <w:r w:rsidR="0083065F">
        <w:rPr>
          <w:rFonts w:ascii="Liberation Serif" w:eastAsia="Calibri" w:hAnsi="Liberation Serif" w:cs="Calibri"/>
          <w:sz w:val="24"/>
        </w:rPr>
        <w:t>2100</w:t>
      </w:r>
      <w:r>
        <w:rPr>
          <w:rFonts w:ascii="Liberation Serif" w:eastAsia="Calibri" w:hAnsi="Liberation Serif" w:cs="Calibri"/>
          <w:sz w:val="24"/>
        </w:rPr>
        <w:t xml:space="preserve">. </w:t>
      </w:r>
      <w:r w:rsidR="00D20917">
        <w:rPr>
          <w:rFonts w:ascii="Liberation Serif" w:eastAsia="Calibri" w:hAnsi="Liberation Serif" w:cs="Calibri"/>
          <w:sz w:val="24"/>
        </w:rPr>
        <w:t>Les</w:t>
      </w:r>
      <w:r>
        <w:rPr>
          <w:rFonts w:ascii="Liberation Serif" w:eastAsia="Calibri" w:hAnsi="Liberation Serif" w:cs="Calibri"/>
          <w:sz w:val="24"/>
        </w:rPr>
        <w:t xml:space="preserve"> gens les plus informés sur le changement climatique sont plus inquiets que les autres quant à ses effets, et soutiennent davantage de politiques climatiques. Ainsi, </w:t>
      </w:r>
      <w:r w:rsidR="00D20917">
        <w:rPr>
          <w:rFonts w:ascii="Liberation Serif" w:eastAsia="Calibri" w:hAnsi="Liberation Serif" w:cs="Calibri"/>
          <w:sz w:val="24"/>
        </w:rPr>
        <w:t>une</w:t>
      </w:r>
      <w:r>
        <w:rPr>
          <w:rFonts w:ascii="Liberation Serif" w:eastAsia="Calibri" w:hAnsi="Liberation Serif" w:cs="Calibri"/>
          <w:sz w:val="24"/>
        </w:rPr>
        <w:t xml:space="preserve"> première </w:t>
      </w:r>
      <w:r w:rsidR="0083065F">
        <w:rPr>
          <w:rFonts w:ascii="Liberation Serif" w:eastAsia="Calibri" w:hAnsi="Liberation Serif" w:cs="Calibri"/>
          <w:sz w:val="24"/>
        </w:rPr>
        <w:t>proposition</w:t>
      </w:r>
      <w:commentRangeStart w:id="1"/>
      <w:r>
        <w:rPr>
          <w:rFonts w:ascii="Liberation Serif" w:eastAsia="Calibri" w:hAnsi="Liberation Serif" w:cs="Calibri"/>
          <w:sz w:val="24"/>
        </w:rPr>
        <w:t xml:space="preserve"> </w:t>
      </w:r>
      <w:commentRangeEnd w:id="1"/>
      <w:r w:rsidR="00A96938">
        <w:rPr>
          <w:rStyle w:val="CommentReference"/>
          <w:rFonts w:cs="Mangal"/>
        </w:rPr>
        <w:commentReference w:id="1"/>
      </w:r>
      <w:r>
        <w:rPr>
          <w:rFonts w:ascii="Liberation Serif" w:eastAsia="Calibri" w:hAnsi="Liberation Serif" w:cs="Calibri"/>
          <w:sz w:val="24"/>
        </w:rPr>
        <w:t>(</w:t>
      </w:r>
      <w:r w:rsidR="0083065F">
        <w:rPr>
          <w:rFonts w:ascii="Liberation Serif" w:eastAsia="Calibri" w:hAnsi="Liberation Serif" w:cs="Calibri"/>
          <w:sz w:val="24"/>
        </w:rPr>
        <w:t>qui</w:t>
      </w:r>
      <w:r>
        <w:rPr>
          <w:rFonts w:ascii="Liberation Serif" w:eastAsia="Calibri" w:hAnsi="Liberation Serif" w:cs="Calibri"/>
          <w:sz w:val="24"/>
        </w:rPr>
        <w:t xml:space="preserve"> fait écho à des propositions </w:t>
      </w:r>
      <w:r w:rsidR="00D20917">
        <w:rPr>
          <w:rFonts w:ascii="Liberation Serif" w:eastAsia="Calibri" w:hAnsi="Liberation Serif" w:cs="Calibri"/>
          <w:sz w:val="24"/>
        </w:rPr>
        <w:t xml:space="preserve">semblables </w:t>
      </w:r>
      <w:r>
        <w:rPr>
          <w:rFonts w:ascii="Liberation Serif" w:eastAsia="Calibri" w:hAnsi="Liberation Serif" w:cs="Calibri"/>
          <w:sz w:val="24"/>
        </w:rPr>
        <w:t xml:space="preserve">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w:t>
      </w:r>
      <w:r w:rsidR="00D20917">
        <w:rPr>
          <w:rFonts w:ascii="Liberation Serif" w:eastAsia="Calibri" w:hAnsi="Liberation Serif" w:cs="Calibri"/>
          <w:sz w:val="24"/>
        </w:rPr>
        <w:t>régulière de documentaires</w:t>
      </w:r>
      <w:r>
        <w:rPr>
          <w:rFonts w:ascii="Liberation Serif" w:eastAsia="Calibri" w:hAnsi="Liberation Serif" w:cs="Calibri"/>
          <w:sz w:val="24"/>
        </w:rPr>
        <w:t>, disons tous les mardis de 21h à 22h ? Une telle décision pourrait en tous cas être soumise à referendum.</w:t>
      </w:r>
    </w:p>
    <w:p w:rsidR="009E4FC5" w:rsidRDefault="009E4FC5" w:rsidP="009E4FC5">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Notre enquête révèle que deux tiers des Françaises et des Français sont prêts à changer de mode de vie, en mangeant peu de viande rouge et n’utilisant presque plus de carburants, mais à la condition que l’effort soit commun et partagé équitablement. Cette condition n’était pas vérifiée par la taxe sur les </w:t>
      </w:r>
      <w:r>
        <w:rPr>
          <w:rFonts w:ascii="Liberation Serif" w:eastAsia="Calibri" w:hAnsi="Liberation Serif" w:cs="Calibri"/>
          <w:sz w:val="24"/>
        </w:rPr>
        <w:t>combustibles</w:t>
      </w:r>
      <w:r>
        <w:rPr>
          <w:rFonts w:ascii="Liberation Serif" w:eastAsia="Calibri" w:hAnsi="Liberation Serif" w:cs="Calibri"/>
          <w:sz w:val="24"/>
        </w:rPr>
        <w:t xml:space="preserve"> instaurée par le gouvernement (et gelée suite aux protestations des Gilets jaunes), notamment car elle ne prévoyait pas de compenser pour la hausse des prix les ménages qui ont déjà du mal à boucler leurs fins de mois. </w:t>
      </w:r>
    </w:p>
    <w:p w:rsidR="009E4FC5" w:rsidRDefault="009E4FC5" w:rsidP="00982976">
      <w:pPr>
        <w:spacing w:after="200" w:line="276" w:lineRule="exact"/>
        <w:jc w:val="both"/>
        <w:rPr>
          <w:rFonts w:ascii="Liberation Serif" w:eastAsia="Calibri" w:hAnsi="Liberation Serif" w:cs="Calibri"/>
          <w:sz w:val="24"/>
        </w:rPr>
      </w:pPr>
      <w:r>
        <w:rPr>
          <w:noProof/>
          <w:lang w:val="en-US" w:eastAsia="en-US" w:bidi="ar-SA"/>
        </w:rPr>
        <w:lastRenderedPageBreak/>
        <mc:AlternateContent>
          <mc:Choice Requires="wps">
            <w:drawing>
              <wp:anchor distT="0" distB="0" distL="0" distR="0" simplePos="0" relativeHeight="251661312" behindDoc="0" locked="0" layoutInCell="1" allowOverlap="1">
                <wp:simplePos x="0" y="0"/>
                <wp:positionH relativeFrom="column">
                  <wp:posOffset>1224915</wp:posOffset>
                </wp:positionH>
                <wp:positionV relativeFrom="paragraph">
                  <wp:posOffset>3294380</wp:posOffset>
                </wp:positionV>
                <wp:extent cx="3248660" cy="3233420"/>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8660" cy="3233420"/>
                        </a:xfrm>
                        <a:prstGeom prst="rect">
                          <a:avLst/>
                        </a:prstGeom>
                      </wps:spPr>
                      <wps:txbx>
                        <w:txbxContent>
                          <w:p w:rsidR="009E4FC5" w:rsidRDefault="009E4FC5" w:rsidP="009E4FC5">
                            <w:pPr>
                              <w:pStyle w:val="Figure"/>
                            </w:pPr>
                            <w:r>
                              <w:rPr>
                                <w:noProof/>
                                <w:kern w:val="0"/>
                                <w:sz w:val="20"/>
                                <w:szCs w:val="20"/>
                                <w:lang w:val="en-US" w:eastAsia="en-US" w:bidi="ar-SA"/>
                              </w:rPr>
                              <w:drawing>
                                <wp:inline distT="0" distB="0" distL="0" distR="0" wp14:anchorId="54E746AF" wp14:editId="478F8E00">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xml:space="preserve">: Transfert net reçu par décile de revenus dans le cadre d'une taxe &amp; dividende progressive. Source: </w:t>
                            </w:r>
                            <w:hyperlink r:id="rId14" w:history="1">
                              <w:r>
                                <w:rPr>
                                  <w:rStyle w:val="InternetLink"/>
                                  <w:rFonts w:ascii="Liberation Serif" w:hAnsi="Liberation Serif"/>
                                  <w:sz w:val="22"/>
                                  <w:szCs w:val="22"/>
                                </w:rPr>
                                <w:t>CAE</w:t>
                              </w:r>
                            </w:hyperlink>
                            <w:r>
                              <w:rPr>
                                <w:rFonts w:ascii="Liberation Serif" w:hAnsi="Liberation Serif"/>
                                <w:sz w:val="22"/>
                                <w:szCs w:val="22"/>
                              </w:rPr>
                              <w:t>.</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96.45pt;margin-top:259.4pt;width:255.8pt;height:254.6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" filled="f" stroked="f">
                <v:path arrowok="t"/>
                <v:textbox inset="0,0,0,0">
                  <w:txbxContent>
                    <w:p w:rsidR="009E4FC5" w:rsidRDefault="009E4FC5" w:rsidP="009E4FC5">
                      <w:pPr>
                        <w:pStyle w:val="Figure"/>
                      </w:pPr>
                      <w:r>
                        <w:rPr>
                          <w:noProof/>
                          <w:kern w:val="0"/>
                          <w:sz w:val="20"/>
                          <w:szCs w:val="20"/>
                          <w:lang w:val="en-US" w:eastAsia="en-US" w:bidi="ar-SA"/>
                        </w:rPr>
                        <w:drawing>
                          <wp:inline distT="0" distB="0" distL="0" distR="0" wp14:anchorId="54E746AF" wp14:editId="478F8E00">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xml:space="preserve">: Transfert net reçu par décile de revenus dans le cadre d'une taxe &amp; dividende progressive. Source: </w:t>
                      </w:r>
                      <w:hyperlink r:id="rId15" w:history="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mc:Fallback>
        </mc:AlternateContent>
      </w:r>
      <w:r>
        <w:rPr>
          <w:rFonts w:ascii="Liberation Serif" w:eastAsia="Calibri" w:hAnsi="Liberation Serif" w:cs="Calibri"/>
          <w:sz w:val="24"/>
        </w:rPr>
        <w:tab/>
        <w:t xml:space="preserve">Or, même sans </w:t>
      </w:r>
      <w:hyperlink r:id="rId16" w:history="1">
        <w:r w:rsidRPr="00982976">
          <w:rPr>
            <w:rStyle w:val="Hyperlink"/>
            <w:rFonts w:ascii="Liberation Serif" w:eastAsia="Calibri" w:hAnsi="Liberation Serif" w:cs="Calibri"/>
            <w:sz w:val="24"/>
          </w:rPr>
          <w:t>mesure</w:t>
        </w:r>
        <w:r w:rsidR="00982976" w:rsidRPr="00982976">
          <w:rPr>
            <w:rStyle w:val="Hyperlink"/>
            <w:rFonts w:ascii="Liberation Serif" w:eastAsia="Calibri" w:hAnsi="Liberation Serif" w:cs="Calibri"/>
            <w:sz w:val="24"/>
          </w:rPr>
          <w:t>s</w:t>
        </w:r>
        <w:r w:rsidRPr="00982976">
          <w:rPr>
            <w:rStyle w:val="Hyperlink"/>
            <w:rFonts w:ascii="Liberation Serif" w:eastAsia="Calibri" w:hAnsi="Liberation Serif" w:cs="Calibri"/>
            <w:sz w:val="24"/>
          </w:rPr>
          <w:t xml:space="preserve"> de justice sociale</w:t>
        </w:r>
      </w:hyperlink>
      <w:r>
        <w:rPr>
          <w:rFonts w:ascii="Liberation Serif" w:eastAsia="Calibri" w:hAnsi="Liberation Serif" w:cs="Calibri"/>
          <w:sz w:val="24"/>
        </w:rPr>
        <w:t xml:space="preserve"> plus générale</w:t>
      </w:r>
      <w:r w:rsidR="00982976">
        <w:rPr>
          <w:rFonts w:ascii="Liberation Serif" w:eastAsia="Calibri" w:hAnsi="Liberation Serif" w:cs="Calibri"/>
          <w:sz w:val="24"/>
        </w:rPr>
        <w:t xml:space="preserve"> – que la convention serait bien avisée de proposer</w:t>
      </w:r>
      <w:r>
        <w:rPr>
          <w:rFonts w:ascii="Liberation Serif" w:eastAsia="Calibri" w:hAnsi="Liberation Serif" w:cs="Calibri"/>
          <w:sz w:val="24"/>
        </w:rPr>
        <w:t xml:space="preserve">, la taxe carbone elle-même peut être conçue de façon à avantager les plus modestes. </w:t>
      </w:r>
      <w:hyperlink r:id="rId17" w:history="1">
        <w:r>
          <w:rPr>
            <w:rStyle w:val="InternetLink"/>
            <w:rFonts w:ascii="Liberation Serif" w:hAnsi="Liberation Serif"/>
            <w:sz w:val="24"/>
          </w:rPr>
          <w:t>Ce que proposent</w:t>
        </w:r>
      </w:hyperlink>
      <w:r>
        <w:rPr>
          <w:rFonts w:ascii="Liberation Serif" w:eastAsia="Calibri" w:hAnsi="Liberation Serif" w:cs="Calibri"/>
          <w:sz w:val="24"/>
        </w:rPr>
        <w:t xml:space="preserve"> plus de 3000 économistes, dont 27 « prix Nobel », c’est une « taxe </w:t>
      </w:r>
      <w:r w:rsidR="00071F20">
        <w:rPr>
          <w:rFonts w:ascii="Liberation Serif" w:eastAsia="Calibri" w:hAnsi="Liberation Serif" w:cs="Calibri"/>
          <w:sz w:val="24"/>
        </w:rPr>
        <w:t>&amp;</w:t>
      </w:r>
      <w:r>
        <w:rPr>
          <w:rFonts w:ascii="Liberation Serif" w:eastAsia="Calibri" w:hAnsi="Liberation Serif" w:cs="Calibri"/>
          <w:sz w:val="24"/>
        </w:rPr>
        <w:t xml:space="preserve"> dividende » : une taxe carbone dont les recettes sont redistribuées directement aux gens. </w:t>
      </w:r>
      <w:r>
        <w:rPr>
          <w:rFonts w:ascii="Liberation Serif" w:eastAsia="Calibri" w:hAnsi="Liberation Serif" w:cs="Calibri"/>
          <w:sz w:val="24"/>
        </w:rPr>
        <w:t>L</w:t>
      </w:r>
      <w:r>
        <w:rPr>
          <w:rFonts w:ascii="Liberation Serif" w:eastAsia="Calibri" w:hAnsi="Liberation Serif" w:cs="Calibri"/>
          <w:sz w:val="24"/>
        </w:rPr>
        <w:t xml:space="preserve">e Conseil d’Analyse Économique </w:t>
      </w:r>
      <w:hyperlink r:id="rId18" w:history="1">
        <w:r>
          <w:rPr>
            <w:rStyle w:val="InternetLink"/>
            <w:rFonts w:ascii="Liberation Serif" w:hAnsi="Liberation Serif"/>
            <w:sz w:val="24"/>
          </w:rPr>
          <w:t>propose</w:t>
        </w:r>
      </w:hyperlink>
      <w:r>
        <w:rPr>
          <w:rFonts w:ascii="Liberation Serif" w:eastAsia="Calibri" w:hAnsi="Liberation Serif" w:cs="Calibri"/>
          <w:sz w:val="24"/>
        </w:rPr>
        <w:t xml:space="preserve"> de verser un dividende plus élevé aux ménages les plus modestes, et de ne pas en verser aux ménages les plus riches</w:t>
      </w:r>
      <w:r>
        <w:rPr>
          <w:rFonts w:ascii="Liberation Serif" w:eastAsia="Calibri" w:hAnsi="Liberation Serif" w:cs="Calibri"/>
          <w:sz w:val="24"/>
        </w:rPr>
        <w:t>, de sorte que les 10% plus pauvres gagnerai</w:t>
      </w:r>
      <w:r w:rsidR="00071F20">
        <w:rPr>
          <w:rFonts w:ascii="Liberation Serif" w:eastAsia="Calibri" w:hAnsi="Liberation Serif" w:cs="Calibri"/>
          <w:sz w:val="24"/>
        </w:rPr>
        <w:t>en</w:t>
      </w:r>
      <w:r>
        <w:rPr>
          <w:rFonts w:ascii="Liberation Serif" w:eastAsia="Calibri" w:hAnsi="Liberation Serif" w:cs="Calibri"/>
          <w:sz w:val="24"/>
        </w:rPr>
        <w:t>t typiquement 200€/an,</w:t>
      </w:r>
      <w:r>
        <w:rPr>
          <w:rFonts w:ascii="Liberation Serif" w:eastAsia="Calibri" w:hAnsi="Liberation Serif" w:cs="Calibri"/>
          <w:sz w:val="24"/>
        </w:rPr>
        <w:t> </w:t>
      </w:r>
      <w:r>
        <w:rPr>
          <w:rFonts w:ascii="Liberation Serif" w:eastAsia="Calibri" w:hAnsi="Liberation Serif" w:cs="Calibri"/>
          <w:sz w:val="24"/>
        </w:rPr>
        <w:t xml:space="preserve">et qu’il n’y aurait que 14% de perdants (les plus gros émetteurs) </w:t>
      </w:r>
      <w:r>
        <w:rPr>
          <w:rFonts w:ascii="Liberation Serif" w:eastAsia="Calibri" w:hAnsi="Liberation Serif" w:cs="Calibri"/>
          <w:sz w:val="24"/>
        </w:rPr>
        <w:t xml:space="preserve">parmi la moitié les plus modestes (Figure 2). </w:t>
      </w:r>
      <w:r w:rsidR="00982976">
        <w:rPr>
          <w:rFonts w:ascii="Liberation Serif" w:eastAsia="Calibri" w:hAnsi="Liberation Serif" w:cs="Calibri"/>
          <w:sz w:val="24"/>
        </w:rPr>
        <w:t xml:space="preserve">Même </w:t>
      </w:r>
      <w:proofErr w:type="spellStart"/>
      <w:r w:rsidR="00982976">
        <w:rPr>
          <w:rFonts w:ascii="Liberation Serif" w:eastAsia="Calibri" w:hAnsi="Liberation Serif" w:cs="Calibri"/>
          <w:sz w:val="24"/>
        </w:rPr>
        <w:t>Priscillia</w:t>
      </w:r>
      <w:proofErr w:type="spellEnd"/>
      <w:r w:rsidR="00982976">
        <w:rPr>
          <w:rFonts w:ascii="Liberation Serif" w:eastAsia="Calibri" w:hAnsi="Liberation Serif" w:cs="Calibri"/>
          <w:sz w:val="24"/>
        </w:rPr>
        <w:t xml:space="preserve"> </w:t>
      </w:r>
      <w:proofErr w:type="spellStart"/>
      <w:r w:rsidR="00982976">
        <w:rPr>
          <w:rFonts w:ascii="Liberation Serif" w:eastAsia="Calibri" w:hAnsi="Liberation Serif" w:cs="Calibri"/>
          <w:sz w:val="24"/>
        </w:rPr>
        <w:t>Ludosky</w:t>
      </w:r>
      <w:proofErr w:type="spellEnd"/>
      <w:r w:rsidR="00982976">
        <w:rPr>
          <w:rFonts w:ascii="Liberation Serif" w:eastAsia="Calibri" w:hAnsi="Liberation Serif" w:cs="Calibri"/>
          <w:sz w:val="24"/>
        </w:rPr>
        <w:t>, initiatrice de la pétition « </w:t>
      </w:r>
      <w:hyperlink r:id="rId19" w:history="1">
        <w:r w:rsidR="00982976" w:rsidRPr="00982976">
          <w:rPr>
            <w:rStyle w:val="Hyperlink"/>
            <w:rFonts w:ascii="Liberation Serif" w:eastAsia="Calibri" w:hAnsi="Liberation Serif" w:cs="Calibri"/>
            <w:sz w:val="24"/>
          </w:rPr>
          <w:t>pour une baisse des prix des carburants </w:t>
        </w:r>
      </w:hyperlink>
      <w:r w:rsidR="00982976">
        <w:rPr>
          <w:rFonts w:ascii="Liberation Serif" w:eastAsia="Calibri" w:hAnsi="Liberation Serif" w:cs="Calibri"/>
          <w:sz w:val="24"/>
        </w:rPr>
        <w:t xml:space="preserve">» à l’origine des gilets jaunes, </w:t>
      </w:r>
      <w:hyperlink r:id="rId20" w:history="1">
        <w:r w:rsidR="00982976" w:rsidRPr="00982976">
          <w:rPr>
            <w:rStyle w:val="Hyperlink"/>
            <w:rFonts w:ascii="Liberation Serif" w:eastAsia="Calibri" w:hAnsi="Liberation Serif" w:cs="Calibri"/>
            <w:sz w:val="24"/>
          </w:rPr>
          <w:t>soutient</w:t>
        </w:r>
      </w:hyperlink>
      <w:r w:rsidR="00982976">
        <w:rPr>
          <w:rFonts w:ascii="Liberation Serif" w:eastAsia="Calibri" w:hAnsi="Liberation Serif" w:cs="Calibri"/>
          <w:sz w:val="24"/>
        </w:rPr>
        <w:t xml:space="preserve"> cette version de la taxe carbone. Comme la majorité des gens s’imagine à tort perdant avec une telle mesure, le</w:t>
      </w:r>
      <w:r>
        <w:rPr>
          <w:rFonts w:ascii="Liberation Serif" w:eastAsia="Calibri" w:hAnsi="Liberation Serif" w:cs="Calibri"/>
          <w:sz w:val="24"/>
        </w:rPr>
        <w:t xml:space="preserve"> </w:t>
      </w:r>
      <w:hyperlink r:id="rId21" w:history="1">
        <w:r w:rsidRPr="00C5171D">
          <w:rPr>
            <w:rStyle w:val="Hyperlink"/>
            <w:rFonts w:ascii="Liberation Serif" w:eastAsia="Calibri" w:hAnsi="Liberation Serif" w:cs="Calibri"/>
            <w:sz w:val="24"/>
          </w:rPr>
          <w:t>Réseau Action Climat</w:t>
        </w:r>
      </w:hyperlink>
      <w:r>
        <w:rPr>
          <w:rFonts w:ascii="Liberation Serif" w:eastAsia="Calibri" w:hAnsi="Liberation Serif" w:cs="Calibri"/>
          <w:sz w:val="24"/>
        </w:rPr>
        <w:t xml:space="preserve"> </w:t>
      </w:r>
      <w:r w:rsidR="00982976">
        <w:rPr>
          <w:rFonts w:ascii="Liberation Serif" w:eastAsia="Calibri" w:hAnsi="Liberation Serif" w:cs="Calibri"/>
          <w:sz w:val="24"/>
        </w:rPr>
        <w:t>a mis en ligne un simulateur pour estimer</w:t>
      </w:r>
      <w:r>
        <w:rPr>
          <w:rFonts w:ascii="Liberation Serif" w:eastAsia="Calibri" w:hAnsi="Liberation Serif" w:cs="Calibri"/>
          <w:sz w:val="24"/>
        </w:rPr>
        <w:t xml:space="preserve"> l’impact d’une taxe </w:t>
      </w:r>
      <w:r w:rsidR="00071F20">
        <w:rPr>
          <w:rFonts w:ascii="Liberation Serif" w:eastAsia="Calibri" w:hAnsi="Liberation Serif" w:cs="Calibri"/>
          <w:sz w:val="24"/>
        </w:rPr>
        <w:t>&amp;</w:t>
      </w:r>
      <w:r>
        <w:rPr>
          <w:rFonts w:ascii="Liberation Serif" w:eastAsia="Calibri" w:hAnsi="Liberation Serif" w:cs="Calibri"/>
          <w:sz w:val="24"/>
        </w:rPr>
        <w:t xml:space="preserve"> dividende sur son pouvoir d’achat. </w:t>
      </w:r>
    </w:p>
    <w:p w:rsidR="00B72371" w:rsidRDefault="00493B0E" w:rsidP="00B72371">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r w:rsidR="00982976">
        <w:rPr>
          <w:rFonts w:ascii="Liberation Serif" w:eastAsia="Calibri" w:hAnsi="Liberation Serif" w:cs="Calibri"/>
          <w:sz w:val="24"/>
        </w:rPr>
        <w:t>S’il est clair que la</w:t>
      </w:r>
      <w:r w:rsidR="0083065F">
        <w:rPr>
          <w:rFonts w:ascii="Liberation Serif" w:eastAsia="Calibri" w:hAnsi="Liberation Serif" w:cs="Calibri"/>
          <w:sz w:val="24"/>
        </w:rPr>
        <w:t xml:space="preserve"> question de</w:t>
      </w:r>
      <w:r>
        <w:rPr>
          <w:rFonts w:ascii="Liberation Serif" w:eastAsia="Calibri" w:hAnsi="Liberation Serif" w:cs="Calibri"/>
          <w:sz w:val="24"/>
        </w:rPr>
        <w:t xml:space="preserve"> l</w:t>
      </w:r>
      <w:r w:rsidR="0083065F">
        <w:rPr>
          <w:rFonts w:ascii="Liberation Serif" w:eastAsia="Calibri" w:hAnsi="Liberation Serif" w:cs="Calibri"/>
          <w:sz w:val="24"/>
        </w:rPr>
        <w:t>a « fin du monde » ne peut être réglée avant celle de la « fin du mois »</w:t>
      </w:r>
      <w:r w:rsidR="00982976">
        <w:rPr>
          <w:rFonts w:ascii="Liberation Serif" w:eastAsia="Calibri" w:hAnsi="Liberation Serif" w:cs="Calibri"/>
          <w:sz w:val="24"/>
        </w:rPr>
        <w:t xml:space="preserve"> </w:t>
      </w:r>
      <w:r w:rsidR="00B72371">
        <w:rPr>
          <w:rFonts w:ascii="Liberation Serif" w:eastAsia="Calibri" w:hAnsi="Liberation Serif" w:cs="Calibri"/>
          <w:sz w:val="24"/>
        </w:rPr>
        <w:t xml:space="preserve">à l’échelle nationale, </w:t>
      </w:r>
      <w:r w:rsidR="007E0406">
        <w:rPr>
          <w:rFonts w:ascii="Liberation Serif" w:eastAsia="Calibri" w:hAnsi="Liberation Serif" w:cs="Calibri"/>
          <w:sz w:val="24"/>
        </w:rPr>
        <w:t xml:space="preserve">cela </w:t>
      </w:r>
      <w:r w:rsidR="00B72371">
        <w:rPr>
          <w:rFonts w:ascii="Liberation Serif" w:eastAsia="Calibri" w:hAnsi="Liberation Serif" w:cs="Calibri"/>
          <w:sz w:val="24"/>
        </w:rPr>
        <w:t xml:space="preserve">vaut aussi </w:t>
      </w:r>
      <w:r w:rsidR="007E0406">
        <w:rPr>
          <w:rFonts w:ascii="Liberation Serif" w:eastAsia="Calibri" w:hAnsi="Liberation Serif" w:cs="Calibri"/>
          <w:sz w:val="24"/>
        </w:rPr>
        <w:t xml:space="preserve">à </w:t>
      </w:r>
      <w:r w:rsidR="00B72371">
        <w:rPr>
          <w:rFonts w:ascii="Liberation Serif" w:eastAsia="Calibri" w:hAnsi="Liberation Serif" w:cs="Calibri"/>
          <w:sz w:val="24"/>
        </w:rPr>
        <w:t xml:space="preserve">l’échelle mondiale. Les plus riches, et à travers eux les pays riches, ont une dette morale vis-à-vis du reste de l’humanité, qui va subir les conséquences climatiques d’émissions dont ils sont largement responsables. Aussi, il semble du devoir des pays riches de financer le surcoût que représentent pour les pays à bas revenus les infrastructures non polluantes. Le </w:t>
      </w:r>
      <w:hyperlink r:id="rId22" w:history="1">
        <w:r w:rsidR="00B72371">
          <w:rPr>
            <w:rStyle w:val="InternetLink"/>
            <w:rFonts w:ascii="Liberation Serif" w:hAnsi="Liberation Serif"/>
            <w:sz w:val="24"/>
          </w:rPr>
          <w:t>Fonds vert pour le climat</w:t>
        </w:r>
      </w:hyperlink>
      <w:r w:rsidR="00B72371">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Il serait juste que la France porte sa contribution à (au moins) 8 milliards de dollars par an, afin qu’une transition écologique s’amorce partout dans le monde.</w:t>
      </w:r>
    </w:p>
    <w:p w:rsidR="00493B0E" w:rsidRDefault="00B72371"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une panoplie de mesures doit être prise </w:t>
      </w:r>
      <w:r w:rsidR="007E0406">
        <w:rPr>
          <w:rFonts w:ascii="Liberation Serif" w:eastAsia="Calibri" w:hAnsi="Liberation Serif" w:cs="Calibri"/>
          <w:sz w:val="24"/>
        </w:rPr>
        <w:t>afin de</w:t>
      </w:r>
      <w:r>
        <w:rPr>
          <w:rFonts w:ascii="Liberation Serif" w:eastAsia="Calibri" w:hAnsi="Liberation Serif" w:cs="Calibri"/>
          <w:sz w:val="24"/>
        </w:rPr>
        <w:t xml:space="preserve"> </w:t>
      </w:r>
      <w:r w:rsidR="007E0406">
        <w:rPr>
          <w:rFonts w:ascii="Liberation Serif" w:eastAsia="Calibri" w:hAnsi="Liberation Serif" w:cs="Calibri"/>
          <w:sz w:val="24"/>
        </w:rPr>
        <w:t>réduire drastiquement nos émissions de gaz à effet de serre</w:t>
      </w:r>
      <w:bookmarkStart w:id="2" w:name="_GoBack"/>
      <w:bookmarkEnd w:id="2"/>
      <w:r w:rsidR="007E0406">
        <w:rPr>
          <w:rFonts w:ascii="Liberation Serif" w:eastAsia="Calibri" w:hAnsi="Liberation Serif" w:cs="Calibri"/>
          <w:sz w:val="24"/>
        </w:rPr>
        <w:t xml:space="preserve">. </w:t>
      </w:r>
      <w:r w:rsidR="0083065F">
        <w:rPr>
          <w:rFonts w:ascii="Liberation Serif" w:eastAsia="Calibri" w:hAnsi="Liberation Serif" w:cs="Calibri"/>
          <w:sz w:val="24"/>
        </w:rPr>
        <w:t>Par exemple, l</w:t>
      </w:r>
      <w:r w:rsidR="00666FFE">
        <w:rPr>
          <w:rFonts w:ascii="Liberation Serif" w:hAnsi="Liberation Serif"/>
          <w:sz w:val="24"/>
        </w:rPr>
        <w:t xml:space="preserve">e </w:t>
      </w:r>
      <w:hyperlink r:id="rId23" w:history="1">
        <w:r w:rsidR="00666FFE">
          <w:rPr>
            <w:rStyle w:val="InternetLink"/>
            <w:rFonts w:ascii="Liberation Serif" w:hAnsi="Liberation Serif"/>
            <w:sz w:val="24"/>
          </w:rPr>
          <w:t xml:space="preserve">rapport </w:t>
        </w:r>
        <w:proofErr w:type="spellStart"/>
        <w:r w:rsidR="00666FFE">
          <w:rPr>
            <w:rStyle w:val="InternetLink"/>
            <w:rFonts w:ascii="Liberation Serif" w:hAnsi="Liberation Serif"/>
            <w:sz w:val="24"/>
          </w:rPr>
          <w:t>Sidler</w:t>
        </w:r>
        <w:proofErr w:type="spellEnd"/>
      </w:hyperlink>
      <w:r w:rsidR="00666FFE">
        <w:rPr>
          <w:rFonts w:ascii="Liberation Serif" w:hAnsi="Liberation Serif"/>
          <w:sz w:val="24"/>
        </w:rPr>
        <w:t xml:space="preserve"> </w:t>
      </w:r>
      <w:r w:rsidR="00666FFE">
        <w:rPr>
          <w:rFonts w:ascii="Liberation Serif" w:hAnsi="Liberation Serif"/>
          <w:sz w:val="24"/>
        </w:rPr>
        <w:lastRenderedPageBreak/>
        <w:t>préconise de rendre obligatoire l’</w:t>
      </w:r>
      <w:hyperlink r:id="rId24" w:history="1">
        <w:r w:rsidR="00666FFE" w:rsidRPr="00D06289">
          <w:rPr>
            <w:rStyle w:val="Hyperlink"/>
            <w:rFonts w:ascii="Liberation Serif" w:hAnsi="Liberation Serif"/>
            <w:sz w:val="24"/>
          </w:rPr>
          <w:t>isolation</w:t>
        </w:r>
      </w:hyperlink>
      <w:r w:rsidR="00666FFE">
        <w:rPr>
          <w:rFonts w:ascii="Liberation Serif" w:hAnsi="Liberation Serif"/>
          <w:sz w:val="24"/>
        </w:rPr>
        <w:t xml:space="preserve"> des bâtiments lors de leur revente (et des copropriétés avant une certaine échéance). </w:t>
      </w:r>
      <w:r w:rsidR="00E017DF">
        <w:rPr>
          <w:rFonts w:ascii="Liberation Serif" w:hAnsi="Liberation Serif"/>
          <w:sz w:val="24"/>
        </w:rPr>
        <w:t>Les propriétaires pourraient en échange bénéficier de la suppression de la</w:t>
      </w:r>
      <w:r w:rsidR="00666FFE">
        <w:rPr>
          <w:rFonts w:ascii="Liberation Serif" w:hAnsi="Liberation Serif"/>
          <w:sz w:val="24"/>
        </w:rPr>
        <w:t xml:space="preserve"> taxe de publicité foncière</w:t>
      </w:r>
      <w:r w:rsidR="00E017DF">
        <w:rPr>
          <w:rFonts w:ascii="Liberation Serif" w:hAnsi="Liberation Serif"/>
          <w:sz w:val="24"/>
        </w:rPr>
        <w:t xml:space="preserve"> (qui constitue l’essentiel des frais de notaires</w:t>
      </w:r>
      <w:r w:rsidR="00ED7B36">
        <w:rPr>
          <w:rFonts w:ascii="Liberation Serif" w:hAnsi="Liberation Serif"/>
          <w:sz w:val="24"/>
        </w:rPr>
        <w:t xml:space="preserve"> et correspond au coût des travaux requis :</w:t>
      </w:r>
      <w:r w:rsidR="00E017DF">
        <w:rPr>
          <w:rFonts w:ascii="Liberation Serif" w:hAnsi="Liberation Serif"/>
          <w:sz w:val="24"/>
        </w:rPr>
        <w:t xml:space="preserve"> </w:t>
      </w:r>
      <w:hyperlink r:id="rId25" w:history="1">
        <w:r w:rsidR="00E017DF" w:rsidRPr="00ED7B36">
          <w:rPr>
            <w:rStyle w:val="Hyperlink"/>
            <w:rFonts w:ascii="Liberation Serif" w:hAnsi="Liberation Serif"/>
            <w:sz w:val="24"/>
          </w:rPr>
          <w:t>10 Mds</w:t>
        </w:r>
      </w:hyperlink>
      <w:r w:rsidR="00E017DF">
        <w:rPr>
          <w:rFonts w:ascii="Liberation Serif" w:hAnsi="Liberation Serif"/>
          <w:sz w:val="24"/>
        </w:rPr>
        <w:t xml:space="preserve"> annuels), selon une idée proche d’une </w:t>
      </w:r>
      <w:hyperlink r:id="rId26" w:history="1">
        <w:r w:rsidR="00E017DF" w:rsidRPr="00E017DF">
          <w:rPr>
            <w:rStyle w:val="Hyperlink"/>
            <w:rFonts w:ascii="Liberation Serif" w:hAnsi="Liberation Serif"/>
            <w:sz w:val="24"/>
          </w:rPr>
          <w:t>contribution citoyenne</w:t>
        </w:r>
      </w:hyperlink>
      <w:r w:rsidR="00E017DF">
        <w:rPr>
          <w:rFonts w:ascii="Liberation Serif" w:hAnsi="Liberation Serif"/>
          <w:sz w:val="24"/>
        </w:rPr>
        <w:t xml:space="preserve">. </w:t>
      </w:r>
      <w:r w:rsidR="0083065F">
        <w:rPr>
          <w:rFonts w:ascii="Liberation Serif" w:eastAsia="Calibri" w:hAnsi="Liberation Serif" w:cs="Calibri"/>
          <w:sz w:val="24"/>
        </w:rPr>
        <w:t>Je me limite à cette idée car</w:t>
      </w:r>
      <w:r w:rsidR="007E6778">
        <w:rPr>
          <w:rFonts w:ascii="Liberation Serif" w:eastAsia="Calibri" w:hAnsi="Liberation Serif" w:cs="Calibri"/>
          <w:sz w:val="24"/>
        </w:rPr>
        <w:t xml:space="preserve"> je n’ai pas l’expertise pour proposer l’articulation juste et efficace de régulations, investissements, normes et taxes nécessaires à la transition.</w:t>
      </w:r>
    </w:p>
    <w:p w:rsidR="00256A4E" w:rsidRDefault="007E6778" w:rsidP="00256A4E">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En revanche, je peux donner mon avis sur les obstacles au financement d’un tel « Green New Deal ». En un mot : il n’y en a pas. </w:t>
      </w:r>
      <w:r w:rsidR="00A33966">
        <w:rPr>
          <w:rFonts w:ascii="Liberation Serif" w:eastAsia="Calibri" w:hAnsi="Liberation Serif" w:cs="Calibri"/>
          <w:sz w:val="24"/>
        </w:rPr>
        <w:t>L</w:t>
      </w:r>
      <w:r w:rsidR="00EE4DEA">
        <w:rPr>
          <w:rFonts w:ascii="Liberation Serif" w:eastAsia="Calibri" w:hAnsi="Liberation Serif" w:cs="Calibri"/>
          <w:sz w:val="24"/>
        </w:rPr>
        <w:t xml:space="preserve">es investissements écologiques peuvent être </w:t>
      </w:r>
      <w:r w:rsidR="00A33966">
        <w:rPr>
          <w:rFonts w:ascii="Liberation Serif" w:eastAsia="Calibri" w:hAnsi="Liberation Serif" w:cs="Calibri"/>
          <w:sz w:val="24"/>
        </w:rPr>
        <w:t>financés par des crédits subventionnés par la puissance publique</w:t>
      </w:r>
      <w:commentRangeStart w:id="3"/>
      <w:r>
        <w:rPr>
          <w:rFonts w:ascii="Liberation Serif" w:eastAsia="Calibri" w:hAnsi="Liberation Serif" w:cs="Calibri"/>
          <w:sz w:val="24"/>
        </w:rPr>
        <w:t>.</w:t>
      </w:r>
      <w:commentRangeEnd w:id="3"/>
      <w:r w:rsidR="00EE4DEA">
        <w:rPr>
          <w:rStyle w:val="CommentReference"/>
          <w:rFonts w:cs="Mangal"/>
        </w:rPr>
        <w:commentReference w:id="3"/>
      </w:r>
      <w:r>
        <w:rPr>
          <w:rFonts w:ascii="Liberation Serif" w:eastAsia="Calibri" w:hAnsi="Liberation Serif" w:cs="Calibri"/>
          <w:sz w:val="24"/>
        </w:rPr>
        <w:t xml:space="preserve"> </w:t>
      </w:r>
      <w:r w:rsidR="00A33966">
        <w:rPr>
          <w:rFonts w:ascii="Liberation Serif" w:eastAsia="Calibri" w:hAnsi="Liberation Serif" w:cs="Calibri"/>
          <w:sz w:val="24"/>
        </w:rPr>
        <w:t xml:space="preserve">Des </w:t>
      </w:r>
      <w:hyperlink r:id="rId27" w:history="1">
        <w:r w:rsidR="00A33966" w:rsidRPr="005A6B91">
          <w:rPr>
            <w:rStyle w:val="Hyperlink"/>
            <w:rFonts w:ascii="Liberation Serif" w:eastAsia="Calibri" w:hAnsi="Liberation Serif" w:cs="Calibri"/>
            <w:sz w:val="24"/>
          </w:rPr>
          <w:t>propositions</w:t>
        </w:r>
      </w:hyperlink>
      <w:r w:rsidR="00A33966">
        <w:rPr>
          <w:rFonts w:ascii="Liberation Serif" w:eastAsia="Calibri" w:hAnsi="Liberation Serif" w:cs="Calibri"/>
          <w:sz w:val="24"/>
        </w:rPr>
        <w:t xml:space="preserve"> en ce sens ont déjà été formulées à l’échelle européenne, et plusieurs </w:t>
      </w:r>
      <w:r w:rsidR="00A33966" w:rsidRPr="00ED7B36">
        <w:rPr>
          <w:rFonts w:ascii="Liberation Serif" w:eastAsia="Calibri" w:hAnsi="Liberation Serif" w:cs="Calibri"/>
          <w:sz w:val="24"/>
        </w:rPr>
        <w:t>montages</w:t>
      </w:r>
      <w:r w:rsidR="00A33966">
        <w:rPr>
          <w:rFonts w:ascii="Liberation Serif" w:eastAsia="Calibri" w:hAnsi="Liberation Serif" w:cs="Calibri"/>
          <w:sz w:val="24"/>
        </w:rPr>
        <w:t xml:space="preserve"> peuvent être envisagés</w:t>
      </w:r>
      <w:r w:rsidR="005A6B91">
        <w:rPr>
          <w:rFonts w:ascii="Liberation Serif" w:eastAsia="Calibri" w:hAnsi="Liberation Serif" w:cs="Calibri"/>
          <w:sz w:val="24"/>
        </w:rPr>
        <w:t xml:space="preserve"> en France</w:t>
      </w:r>
      <w:r w:rsidR="00A33966">
        <w:rPr>
          <w:rFonts w:ascii="Liberation Serif" w:eastAsia="Calibri" w:hAnsi="Liberation Serif" w:cs="Calibri"/>
          <w:sz w:val="24"/>
        </w:rPr>
        <w:t xml:space="preserve">, tels qu’une garantie de la Caisse des dépôts et l’émission de </w:t>
      </w:r>
      <w:hyperlink r:id="rId28" w:history="1">
        <w:r w:rsidR="00A33966" w:rsidRPr="00ED7B36">
          <w:rPr>
            <w:rStyle w:val="Hyperlink"/>
            <w:rFonts w:ascii="Liberation Serif" w:eastAsia="Calibri" w:hAnsi="Liberation Serif" w:cs="Calibri"/>
            <w:sz w:val="24"/>
          </w:rPr>
          <w:t>dette publique</w:t>
        </w:r>
      </w:hyperlink>
      <w:r w:rsidR="00A33966">
        <w:rPr>
          <w:rFonts w:ascii="Liberation Serif" w:eastAsia="Calibri" w:hAnsi="Liberation Serif" w:cs="Calibri"/>
          <w:sz w:val="24"/>
        </w:rPr>
        <w:t>. Dans un contexte de chômage élevé et de taux d’intérêt proches de zéro, une telle approche permettrait de créer des emplois sans risque d’inflation et sans constituer un fardeau pour les contribuables futurs</w:t>
      </w:r>
      <w:commentRangeStart w:id="4"/>
      <w:r w:rsidR="00A33966">
        <w:rPr>
          <w:rFonts w:ascii="Liberation Serif" w:eastAsia="Calibri" w:hAnsi="Liberation Serif" w:cs="Calibri"/>
          <w:sz w:val="24"/>
        </w:rPr>
        <w:t>.</w:t>
      </w:r>
      <w:commentRangeEnd w:id="4"/>
      <w:r w:rsidR="005A6B91">
        <w:rPr>
          <w:rStyle w:val="CommentReference"/>
          <w:rFonts w:cs="Mangal"/>
        </w:rPr>
        <w:commentReference w:id="4"/>
      </w:r>
      <w:r w:rsidR="00A33966">
        <w:rPr>
          <w:rFonts w:ascii="Liberation Serif" w:eastAsia="Calibri" w:hAnsi="Liberation Serif" w:cs="Calibri"/>
          <w:sz w:val="24"/>
        </w:rPr>
        <w:t xml:space="preserve"> </w:t>
      </w:r>
    </w:p>
    <w:p w:rsidR="007E6778" w:rsidRDefault="007E6778" w:rsidP="00B24C8E">
      <w:pPr>
        <w:spacing w:after="200" w:line="276" w:lineRule="exact"/>
        <w:jc w:val="both"/>
        <w:rPr>
          <w:rFonts w:ascii="Liberation Serif" w:eastAsia="Calibri" w:hAnsi="Liberation Serif" w:cs="Calibri"/>
          <w:sz w:val="24"/>
        </w:rPr>
      </w:pPr>
    </w:p>
    <w:p w:rsidR="00D20917" w:rsidRDefault="007E6778" w:rsidP="007E6778">
      <w:pPr>
        <w:spacing w:after="200" w:line="276" w:lineRule="exact"/>
        <w:jc w:val="right"/>
        <w:rPr>
          <w:rFonts w:ascii="Liberation Serif" w:eastAsia="Calibri" w:hAnsi="Liberation Serif" w:cs="Calibri"/>
          <w:sz w:val="24"/>
        </w:rPr>
      </w:pPr>
      <w:r>
        <w:rPr>
          <w:rFonts w:ascii="Liberation Serif" w:eastAsia="Calibri" w:hAnsi="Liberation Serif" w:cs="Calibri"/>
          <w:sz w:val="24"/>
        </w:rPr>
        <w:t>Adrien Fabre</w:t>
      </w:r>
    </w:p>
    <w:p w:rsidR="007E6778" w:rsidRDefault="007E6778" w:rsidP="00B24C8E">
      <w:pPr>
        <w:spacing w:after="200" w:line="276" w:lineRule="exact"/>
        <w:jc w:val="both"/>
        <w:rPr>
          <w:rFonts w:ascii="Liberation Serif" w:eastAsia="Calibri" w:hAnsi="Liberation Serif" w:cs="Calibri"/>
          <w:sz w:val="24"/>
        </w:rPr>
      </w:pPr>
    </w:p>
    <w:sectPr w:rsidR="007E6778">
      <w:pgSz w:w="12240" w:h="15840"/>
      <w:pgMar w:top="1440" w:right="1800" w:bottom="1440" w:left="1800" w:header="0" w:footer="0" w:gutter="0"/>
      <w:cols w:space="720"/>
      <w:formProt w:val="0"/>
      <w:docGrid w:linePitch="10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en" w:date="2019-11-02T21:45:00Z" w:initials="AF">
    <w:p w:rsidR="00D06289" w:rsidRDefault="00D06289">
      <w:pPr>
        <w:pStyle w:val="CommentText"/>
      </w:pPr>
      <w:r>
        <w:rPr>
          <w:rStyle w:val="CommentReference"/>
        </w:rPr>
        <w:annotationRef/>
      </w:r>
      <w:r>
        <w:t>Economiste ?</w:t>
      </w:r>
    </w:p>
  </w:comment>
  <w:comment w:id="1" w:author="Adrien" w:date="2019-11-05T19:33:00Z" w:initials="AF">
    <w:p w:rsidR="00A96938" w:rsidRDefault="00A96938">
      <w:pPr>
        <w:pStyle w:val="CommentText"/>
      </w:pPr>
      <w:r>
        <w:rPr>
          <w:rStyle w:val="CommentReference"/>
        </w:rPr>
        <w:annotationRef/>
      </w:r>
      <w:r>
        <w:t>proposition</w:t>
      </w:r>
    </w:p>
  </w:comment>
  <w:comment w:id="3" w:author="Adrien" w:date="2019-11-02T22:26:00Z" w:initials="AF">
    <w:p w:rsidR="00EE4DEA" w:rsidRDefault="00EE4DEA">
      <w:pPr>
        <w:pStyle w:val="CommentText"/>
        <w:rPr>
          <w:rFonts w:ascii="Liberation Serif" w:eastAsia="Calibri" w:hAnsi="Liberation Serif" w:cs="Calibri"/>
          <w:sz w:val="24"/>
        </w:rPr>
      </w:pPr>
      <w:r>
        <w:rPr>
          <w:rStyle w:val="CommentReference"/>
        </w:rPr>
        <w:annotationRef/>
      </w:r>
      <w:r>
        <w:rPr>
          <w:rFonts w:ascii="Liberation Serif" w:eastAsia="Calibri" w:hAnsi="Liberation Serif" w:cs="Calibri"/>
          <w:sz w:val="24"/>
        </w:rPr>
        <w:t xml:space="preserve">Même si on lit </w:t>
      </w:r>
      <w:hyperlink r:id="rId1" w:history="1">
        <w:r>
          <w:rPr>
            <w:rStyle w:val="InternetLink"/>
            <w:rFonts w:ascii="Liberation Serif" w:hAnsi="Liberation Serif"/>
            <w:sz w:val="24"/>
          </w:rPr>
          <w:t>dans la presse</w:t>
        </w:r>
      </w:hyperlink>
      <w:r>
        <w:rPr>
          <w:rFonts w:ascii="Liberation Serif" w:eastAsia="Calibri" w:hAnsi="Liberation Serif" w:cs="Calibri"/>
          <w:sz w:val="24"/>
        </w:rPr>
        <w:t xml:space="preserve"> que la convention citoyenne doit adosser chaque dépense à des recettes correspondantes, cette règle n’apparaît pas dans la </w:t>
      </w:r>
      <w:hyperlink r:id="rId2" w:history="1">
        <w:r>
          <w:rPr>
            <w:rStyle w:val="InternetLink"/>
            <w:rFonts w:ascii="Liberation Serif" w:hAnsi="Liberation Serif"/>
            <w:sz w:val="24"/>
          </w:rPr>
          <w:t>lettre de mission</w:t>
        </w:r>
      </w:hyperlink>
      <w:r>
        <w:rPr>
          <w:rFonts w:ascii="Liberation Serif" w:eastAsia="Calibri" w:hAnsi="Liberation Serif" w:cs="Calibri"/>
          <w:sz w:val="24"/>
        </w:rPr>
        <w:t xml:space="preserve"> de la convention. Mais afin de respecter cette règle non écrite, le financement le plus judicieux pour les investissements écologiques publics semble être l’octroi de crédits garantis par la puissance publique, par exemple à travers la Caisse des dépôts ou La Banque Postale (et dont l’analogue au niveau européen est le </w:t>
      </w:r>
      <w:hyperlink r:id="rId3" w:history="1">
        <w:r>
          <w:rPr>
            <w:rStyle w:val="InternetLink"/>
            <w:rFonts w:ascii="Liberation Serif" w:hAnsi="Liberation Serif"/>
            <w:sz w:val="24"/>
          </w:rPr>
          <w:t>Pacte Finance-</w:t>
        </w:r>
        <w:proofErr w:type="spellStart"/>
        <w:r>
          <w:rPr>
            <w:rStyle w:val="InternetLink"/>
            <w:rFonts w:ascii="Liberation Serif" w:hAnsi="Liberation Serif"/>
            <w:sz w:val="24"/>
          </w:rPr>
          <w:t>Cli</w:t>
        </w:r>
        <w:proofErr w:type="spellEnd"/>
        <w:r w:rsidR="005A6B91">
          <w:rPr>
            <w:rStyle w:val="InternetLink"/>
            <w:rFonts w:ascii="Liberation Serif" w:hAnsi="Liberation Serif"/>
            <w:sz w:val="24"/>
          </w:rPr>
          <w:tab/>
        </w:r>
        <w:r>
          <w:rPr>
            <w:rStyle w:val="InternetLink"/>
            <w:rFonts w:ascii="Liberation Serif" w:hAnsi="Liberation Serif"/>
            <w:sz w:val="24"/>
          </w:rPr>
          <w:t>mat</w:t>
        </w:r>
      </w:hyperlink>
      <w:r>
        <w:rPr>
          <w:rFonts w:ascii="Liberation Serif" w:eastAsia="Calibri" w:hAnsi="Liberation Serif" w:cs="Calibri"/>
          <w:sz w:val="24"/>
        </w:rPr>
        <w:t>). Dans un contexte de chômage élevé et de taux d’intérêt proches de zéro, une telle approche permettrait de créer des emplois sans risque d’inflation et sans constituer un fardeau pour les contribuables futurs. Cela dit, le gouvernement risque de refuser une telle solution, car il l’interpréterait probablement comme une atteinte à la règle d’or budgétaire européenne (règle par ailleurs controversée). Il ne faut pas s’en inquiéter, car d’autres sources de financement sont possibles, telle qu’une mise à contribution des ménages les plus aisés.</w:t>
      </w:r>
    </w:p>
    <w:p w:rsidR="00A33966" w:rsidRDefault="00A33966">
      <w:pPr>
        <w:pStyle w:val="CommentText"/>
        <w:rPr>
          <w:rFonts w:ascii="Liberation Serif" w:eastAsia="Calibri" w:hAnsi="Liberation Serif" w:cs="Calibri"/>
          <w:sz w:val="24"/>
        </w:rPr>
      </w:pPr>
    </w:p>
    <w:p w:rsidR="00A33966" w:rsidRDefault="00A33966">
      <w:pPr>
        <w:pStyle w:val="CommentText"/>
      </w:pPr>
      <w:r>
        <w:rPr>
          <w:rFonts w:ascii="Liberation Serif" w:eastAsia="Calibri" w:hAnsi="Liberation Serif" w:cs="Calibri"/>
          <w:sz w:val="24"/>
        </w:rPr>
        <w:t>Outre la mise à contribution des plus riches déjà évoquée, l</w:t>
      </w:r>
    </w:p>
  </w:comment>
  <w:comment w:id="4" w:author="Adrien" w:date="2019-11-02T22:28:00Z" w:initials="AF">
    <w:p w:rsidR="005A6B91" w:rsidRDefault="005A6B91" w:rsidP="005A6B91">
      <w:pPr>
        <w:spacing w:after="200" w:line="276" w:lineRule="exact"/>
        <w:ind w:firstLine="709"/>
        <w:jc w:val="both"/>
        <w:rPr>
          <w:rFonts w:ascii="Liberation Serif" w:hAnsi="Liberation Serif"/>
          <w:sz w:val="24"/>
        </w:rPr>
      </w:pPr>
      <w:r>
        <w:rPr>
          <w:rStyle w:val="CommentReference"/>
        </w:rPr>
        <w:annotationRef/>
      </w:r>
      <w:r>
        <w:rPr>
          <w:rFonts w:ascii="Liberation Serif" w:eastAsia="Calibri" w:hAnsi="Liberation Serif" w:cs="Calibri"/>
          <w:sz w:val="24"/>
        </w:rPr>
        <w:t xml:space="preserve">Si le gouvernement refuse une telle proposition sous prétexte qu’elle enfreindrait la règle d’or budgétaire européenne (règle par ailleurs controversée), le financement pourra se reposer sur la mise à contribution des plus riches évoquée plus haut. Quoi qu’il en soit, la convention ne devrait pas s’inquiéter de cette question du financement,  car sa </w:t>
      </w:r>
      <w:hyperlink r:id="rId4" w:history="1">
        <w:r>
          <w:rPr>
            <w:rStyle w:val="InternetLink"/>
            <w:rFonts w:ascii="Liberation Serif" w:hAnsi="Liberation Serif"/>
            <w:sz w:val="24"/>
          </w:rPr>
          <w:t>lettre de mission</w:t>
        </w:r>
      </w:hyperlink>
      <w:r>
        <w:rPr>
          <w:rFonts w:ascii="Liberation Serif" w:eastAsia="Calibri" w:hAnsi="Liberation Serif" w:cs="Calibri"/>
          <w:sz w:val="24"/>
        </w:rPr>
        <w:t xml:space="preserve"> ne stipule pas que chaque dépense proposée doive être adossée à des recettes correspondantes.</w:t>
      </w:r>
    </w:p>
    <w:p w:rsidR="005A6B91" w:rsidRDefault="005A6B91">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561" w:rsidRDefault="002C5561">
      <w:r>
        <w:separator/>
      </w:r>
    </w:p>
  </w:endnote>
  <w:endnote w:type="continuationSeparator" w:id="0">
    <w:p w:rsidR="002C5561" w:rsidRDefault="002C5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561" w:rsidRDefault="002C5561">
      <w:r>
        <w:separator/>
      </w:r>
    </w:p>
  </w:footnote>
  <w:footnote w:type="continuationSeparator" w:id="0">
    <w:p w:rsidR="002C5561" w:rsidRDefault="002C55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6D10"/>
    <w:multiLevelType w:val="hybridMultilevel"/>
    <w:tmpl w:val="FADA2E6A"/>
    <w:lvl w:ilvl="0" w:tplc="10A4BD76">
      <w:numFmt w:val="bullet"/>
      <w:lvlText w:val="-"/>
      <w:lvlJc w:val="left"/>
      <w:pPr>
        <w:ind w:left="720" w:hanging="360"/>
      </w:pPr>
      <w:rPr>
        <w:rFonts w:ascii="Liberation Serif" w:eastAsia="Calibri" w:hAnsi="Liberation Serif"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8A"/>
    <w:rsid w:val="00071F20"/>
    <w:rsid w:val="000825CB"/>
    <w:rsid w:val="00083213"/>
    <w:rsid w:val="00110781"/>
    <w:rsid w:val="0011761F"/>
    <w:rsid w:val="00240EBD"/>
    <w:rsid w:val="00250F01"/>
    <w:rsid w:val="00256A4E"/>
    <w:rsid w:val="002872A3"/>
    <w:rsid w:val="002A1BB7"/>
    <w:rsid w:val="002C5561"/>
    <w:rsid w:val="002F6EBE"/>
    <w:rsid w:val="00350348"/>
    <w:rsid w:val="00493B0E"/>
    <w:rsid w:val="004A30BD"/>
    <w:rsid w:val="00510AE2"/>
    <w:rsid w:val="0053688A"/>
    <w:rsid w:val="005A6B91"/>
    <w:rsid w:val="005D392E"/>
    <w:rsid w:val="00666FFE"/>
    <w:rsid w:val="00695F10"/>
    <w:rsid w:val="006C06B0"/>
    <w:rsid w:val="007901E8"/>
    <w:rsid w:val="007B06FA"/>
    <w:rsid w:val="007E0406"/>
    <w:rsid w:val="007E6778"/>
    <w:rsid w:val="00800A1F"/>
    <w:rsid w:val="0083065F"/>
    <w:rsid w:val="00835BBF"/>
    <w:rsid w:val="00854134"/>
    <w:rsid w:val="00881A53"/>
    <w:rsid w:val="00982976"/>
    <w:rsid w:val="009E4FC5"/>
    <w:rsid w:val="00A33966"/>
    <w:rsid w:val="00A96938"/>
    <w:rsid w:val="00B24C8E"/>
    <w:rsid w:val="00B42A46"/>
    <w:rsid w:val="00B7113E"/>
    <w:rsid w:val="00B72371"/>
    <w:rsid w:val="00C06C60"/>
    <w:rsid w:val="00CA3B82"/>
    <w:rsid w:val="00D06289"/>
    <w:rsid w:val="00D20917"/>
    <w:rsid w:val="00D40FFE"/>
    <w:rsid w:val="00DD3F05"/>
    <w:rsid w:val="00E017DF"/>
    <w:rsid w:val="00E86495"/>
    <w:rsid w:val="00EA28FA"/>
    <w:rsid w:val="00EC76DB"/>
    <w:rsid w:val="00ED7B36"/>
    <w:rsid w:val="00EE4DEA"/>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pacte-climat.eu/fr/un-projet-de-traite/" TargetMode="External"/><Relationship Id="rId2" Type="http://schemas.openxmlformats.org/officeDocument/2006/relationships/hyperlink" Target="https://www.conventioncitoyennepourleclimat.fr/wp-content/uploads/2019/09/lettre-de-mission.pdf" TargetMode="External"/><Relationship Id="rId1" Type="http://schemas.openxmlformats.org/officeDocument/2006/relationships/hyperlink" Target="https://www.lemonde.fr/politique/article/2019/05/19/150-francais-tires-au-sort-six-mois-de-debat-la-taxe-carbone-sur-la-table-la-convention-citoyenne-se-precise_5464124_823448.html" TargetMode="External"/><Relationship Id="rId4" Type="http://schemas.openxmlformats.org/officeDocument/2006/relationships/hyperlink" Target="https://www.conventioncitoyennepourleclimat.fr/wp-content/uploads/2019/09/lettre-de-mission.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cae-eco.fr/IMG/pdf/cae-note050v2.pdf" TargetMode="External"/><Relationship Id="rId26" Type="http://schemas.openxmlformats.org/officeDocument/2006/relationships/hyperlink" Target="https://contribuez.conventioncitoyennepourleclimat.fr/processes/se-loger/f/5/proposals/259" TargetMode="External"/><Relationship Id="rId3" Type="http://schemas.openxmlformats.org/officeDocument/2006/relationships/styles" Target="styles.xml"/><Relationship Id="rId21" Type="http://schemas.openxmlformats.org/officeDocument/2006/relationships/hyperlink" Target="https://reseauactionclimat.org/calculateur-taxe-carbone-juste/"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clcouncil.org/media/EconomistsStatement.pdf" TargetMode="External"/><Relationship Id="rId25" Type="http://schemas.openxmlformats.org/officeDocument/2006/relationships/hyperlink" Target="http://deepdecarbonization.org/wp-content/uploads/2015/09/DDPP_FRA.pdf" TargetMode="External"/><Relationship Id="rId2" Type="http://schemas.openxmlformats.org/officeDocument/2006/relationships/numbering" Target="numbering.xml"/><Relationship Id="rId16" Type="http://schemas.openxmlformats.org/officeDocument/2006/relationships/hyperlink" Target="https://www.lemonde.fr/idees/article/2018/12/14/gilets-jaunes-le-ras-le-bol-fiscal-ne-date-pas-d-hier_5397597_3232.html" TargetMode="External"/><Relationship Id="rId20" Type="http://schemas.openxmlformats.org/officeDocument/2006/relationships/hyperlink" Target="http://www.leparisien.fr/environnement/des-ong-et-une-figure-des-gilets-jaunes-proposent-une-taxe-carbone-juste-17-11-2019-8195250.ph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premap.fr/depot/2019/11/docweb1906.pdf" TargetMode="External"/><Relationship Id="rId24" Type="http://schemas.openxmlformats.org/officeDocument/2006/relationships/hyperlink" Target="https://theshiftproject.org/wp-content/uploads/2017/05/tsp_-_gt_renovation_thermique_du_batiment_v3.4.pdf" TargetMode="External"/><Relationship Id="rId5" Type="http://schemas.openxmlformats.org/officeDocument/2006/relationships/settings" Target="settings.xml"/><Relationship Id="rId15" Type="http://schemas.openxmlformats.org/officeDocument/2006/relationships/hyperlink" Target="http://www.cae-eco.fr/IMG/pdf/cae-note050v2.pdf" TargetMode="External"/><Relationship Id="rId23" Type="http://schemas.openxmlformats.org/officeDocument/2006/relationships/hyperlink" Target="https://negawatt.org/telechargement/Docs/Sidler%20Renovation%20final%201107.pdf" TargetMode="External"/><Relationship Id="rId28" Type="http://schemas.openxmlformats.org/officeDocument/2006/relationships/hyperlink" Target="http://www.cepii.fr/PDF_PUB/pb/2015/pb2015-06.pdf" TargetMode="External"/><Relationship Id="rId10" Type="http://schemas.openxmlformats.org/officeDocument/2006/relationships/comments" Target="comments.xml"/><Relationship Id="rId19" Type="http://schemas.openxmlformats.org/officeDocument/2006/relationships/hyperlink" Target="https://www.change.org/p/pour-une-baisse-des-prix-%C3%A0-la-pompe-essence-diesel" TargetMode="External"/><Relationship Id="rId4" Type="http://schemas.microsoft.com/office/2007/relationships/stylesWithEffects" Target="stylesWithEffects.xml"/><Relationship Id="rId9" Type="http://schemas.openxmlformats.org/officeDocument/2006/relationships/hyperlink" Target="https://www.conventioncitoyennepourleclimat.fr/" TargetMode="External"/><Relationship Id="rId14" Type="http://schemas.openxmlformats.org/officeDocument/2006/relationships/hyperlink" Target="http://www.cae-eco.fr/IMG/pdf/cae-note050v2.pdf" TargetMode="External"/><Relationship Id="rId22" Type="http://schemas.openxmlformats.org/officeDocument/2006/relationships/hyperlink" Target="https://www.greenclimate.fund/how-we-work/resource-mobilization" TargetMode="External"/><Relationship Id="rId27" Type="http://schemas.openxmlformats.org/officeDocument/2006/relationships/hyperlink" Target="https://www.pacte-climat.eu/fr/un-projet-de-trait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5C11-EFA5-403E-A708-301D9A4A4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3</Pages>
  <Words>1179</Words>
  <Characters>6133</Characters>
  <Application>Microsoft Office Word</Application>
  <DocSecurity>0</DocSecurity>
  <Lines>97</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Adrien</cp:lastModifiedBy>
  <cp:revision>4</cp:revision>
  <dcterms:created xsi:type="dcterms:W3CDTF">2019-12-03T17:06:00Z</dcterms:created>
  <dcterms:modified xsi:type="dcterms:W3CDTF">2019-12-03T21:38:00Z</dcterms:modified>
  <dc:language>fr-FR</dc:language>
</cp:coreProperties>
</file>