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se réunissent chaque week-end et mettent au point les mesures nécessaires pour rendre notre société soutenable. Comme le montre la </w:t>
      </w:r>
      <w:hyperlink r:id="rId8" w:history="1">
        <w:r>
          <w:rPr>
            <w:rStyle w:val="InternetLink"/>
            <w:rFonts w:ascii="Liberation Serif" w:hAnsi="Liberation Serif"/>
            <w:sz w:val="24"/>
          </w:rPr>
          <w:t>retransmission</w:t>
        </w:r>
      </w:hyperlink>
      <w:r>
        <w:rPr>
          <w:rFonts w:ascii="Liberation Serif" w:eastAsia="Calibri" w:hAnsi="Liberation Serif" w:cs="Calibri"/>
          <w:sz w:val="24"/>
        </w:rPr>
        <w:t xml:space="preserve"> des débats, ces personnes font un travail remarquable, prometteur tant pour la transition écologique que pour la démocratisation de l’écriture des lois. En tant que chercheurs en sciences sociales, nous avons étudié les effets de la taxation du carbone sur le pouvoir d’achat, et avons effectué une enquête représentative sur 3000 Françaises et Français pour comprendre leurs préférences en matière de politiques climatiques. En communiquant les principaux enseignements de nos travaux</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recommandations politiques que nous en tirons personnellement, nous espérons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C416E2">
        <w:pict>
          <v:shapetype id="_x0000_t202" coordsize="21600,21600" o:spt="202" path="m,l,21600r21600,l21600,xe">
            <v:stroke joinstyle="miter"/>
            <v:path gradientshapeok="t" o:connecttype="rect"/>
          </v:shapetype>
          <v:shape id="Frame1" o:spid="_x0000_s1029" type="#_x0000_t202" style="position:absolute;left:0;text-align:left;margin-left:0;margin-top:.05pt;width:391.4pt;height:67.5pt;z-index:251656192;visibility:visible;mso-wrap-style:square;mso-wrap-distance-left:0;mso-wrap-distance-top:0;mso-wrap-distance-right:0;mso-wrap-distance-bottom:0;mso-position-horizontal:center;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0G2rUCAACMBwAA&#10;HwAAAGNsaXBib2FyZC9kcmF3aW5ncy9kcmF3aW5nMS54bWzUVdFu0zAUfUfiHyy/8LQlHWu7VUun&#10;rVsnoBpVwz7gNrlprCV2sJ3Q8kN8CD/GtZN2ZaAhDZDgKTfx9fE5517fnJ2vy4I1qI1QMuK9w5Az&#10;lIlKhVxF/O7D9OCEM2NBplAoiRHfoOHn45cvzmC00lDlImGEIM0IIp5bW42CwCQ5lmAOVYWS1jKl&#10;S7D0qldBquETIZdFcBSGg6AEIfn4AeoKLLBai2dAFSq5x3QCsgFDkEUy2v/ScSyS30eGkWxudBVX&#10;c+2YJ7fNXDORRpyck1CSRTzoFro0eg0e7Vo9AKwzXbp8lWVsTRU47g9PB4S1ifhxGL4eDPstHq4t&#10;Syjh+HQYDk8oIaGMk/7wqB92B+bvfwGR5NdPgxDNlg4FexRN5QjK5kfNva3mqSbpvZ1yl8ns+lI5&#10;Re6rN2C733Te/SHpO9YwqrSxN6hK5oKIa0ys7y9oZsa2NLYpntOWiV3HXqOjnG6c2iU9SUPxRhpf&#10;WrsN9DZYbgOQSa50xNujpLqorcpEd1yL4xALY2O7KdB3hz/NmVSCnvkDKFi4wKWaKrnErIvm1rAG&#10;iogPQl9pkvvd+kVmn8z067SpM913rXbSwF3xTB9MF3TFP1Oh6E5yRpePqnqP2o0D+uCwMcvIydZC&#10;EgJWSGY3FWaQUL9PoBBLLbo2hb2VW2UVi0EaNnn7jsWTrj/MXspM5cKyK2xAwgpaFCJLBN3BnYk+&#10;Xv5HzElBR9ep+LnbztxnuD0TS9RUASVZjFpkf8X28VSsao2sN2LXVHvqwAr11y+1YWnNkpw6B0uU&#10;NJAKQbNdfKyRGcG0QMnkKzSWZUBVrVRNbYaMkoRFfeimAPWqK6/vKpnOQcNi14soD+7if68XccfT&#10;c6er63TsJkVtMK4WdD/a+dKOEspwUzN49B/yW7v/pvvZ7b+PvwE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GT0G2rUCAACMBwAAHwAAAAAAAAAA&#10;AAAAAAAgAgAAY2xpcGJvYXJkL2RyYXdpbmdzL2RyYXdpbmcxLnhtbFBLAQItABQABgAIAAAAIQCc&#10;Tl4h4gYAADocAAAaAAAAAAAAAAAAAAAAABIFAABjbGlwYm9hcmQvdGhlbWUvdGhlbWUxLnhtbFBL&#10;AQItABQABgAIAAAAIQCcZkZBuwAAACQBAAAqAAAAAAAAAAAAAAAAACwMAABjbGlwYm9hcmQvZHJh&#10;d2luZ3MvX3JlbHMvZHJhd2luZzEueG1sLnJlbHNQSwUGAAAAAAUABQBnAQAALw0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l’ampleur de l’effort nécessaire pour espérer </w:t>
      </w:r>
      <w:proofErr w:type="gramStart"/>
      <w:r>
        <w:rPr>
          <w:rFonts w:ascii="Liberation Serif" w:eastAsia="Calibri" w:hAnsi="Liberation Serif" w:cs="Calibri"/>
          <w:sz w:val="24"/>
        </w:rPr>
        <w:t>contenir</w:t>
      </w:r>
      <w:proofErr w:type="gramEnd"/>
      <w:r>
        <w:rPr>
          <w:rFonts w:ascii="Liberation Serif" w:eastAsia="Calibri" w:hAnsi="Liberation Serif" w:cs="Calibri"/>
          <w:sz w:val="24"/>
        </w:rPr>
        <w:t xml:space="preserve"> le réchauffement climatique à +2°C en 2100 : la division par au moins 5 de nos émissions de gaz à effet de serre d’ici 2050. Nous observons que les gens les plus informés sur le changement climatique sont plus inquiets que les autres quant à ses effets, et soutiennent davantage de politiques climatiques. Ainsi, notre première recommandation (et elle fait écho à des propositions similaires 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de documentaires régulièrement, </w:t>
      </w:r>
      <w:proofErr w:type="gramStart"/>
      <w:r>
        <w:rPr>
          <w:rFonts w:ascii="Liberation Serif" w:eastAsia="Calibri" w:hAnsi="Liberation Serif" w:cs="Calibri"/>
          <w:sz w:val="24"/>
        </w:rPr>
        <w:t>disons</w:t>
      </w:r>
      <w:proofErr w:type="gramEnd"/>
      <w:r>
        <w:rPr>
          <w:rFonts w:ascii="Liberation Serif" w:eastAsia="Calibri" w:hAnsi="Liberation Serif" w:cs="Calibri"/>
          <w:sz w:val="24"/>
        </w:rPr>
        <w:t xml:space="preserve"> tous les mardis de 21h à 22h ? Une telle décision pourrait en tous cas être soumise à referendum.</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carburants instaurée par le gouvernement (et gelée suite aux protestations des Gilets jaunes), notamment car elle ne prévoyait pas </w:t>
      </w:r>
      <w:r>
        <w:rPr>
          <w:rFonts w:ascii="Liberation Serif" w:eastAsia="Calibri" w:hAnsi="Liberation Serif" w:cs="Calibri"/>
          <w:sz w:val="24"/>
        </w:rPr>
        <w:lastRenderedPageBreak/>
        <w:t>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B24C8E" w:rsidRDefault="00C416E2" w:rsidP="00B24C8E">
      <w:pPr>
        <w:spacing w:after="200" w:line="276" w:lineRule="exact"/>
        <w:jc w:val="both"/>
        <w:rPr>
          <w:rFonts w:ascii="Liberation Serif" w:eastAsia="Calibri" w:hAnsi="Liberation Serif" w:cs="Calibri"/>
          <w:sz w:val="24"/>
        </w:rPr>
      </w:pPr>
      <w:r>
        <w:pict>
          <v:shape id="Frame4" o:spid="_x0000_s1031" type="#_x0000_t202" style="position:absolute;left:0;text-align:left;margin-left:96.45pt;margin-top:259.4pt;width:255.8pt;height:254.6pt;z-index:25165721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7C02D769" wp14:editId="140EC6DE">
                        <wp:extent cx="3251200" cy="26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11"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B24C8E">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12" w:history="1">
        <w:r w:rsidR="00B24C8E">
          <w:rPr>
            <w:rStyle w:val="InternetLink"/>
            <w:rFonts w:ascii="Liberation Serif" w:hAnsi="Liberation Serif"/>
            <w:sz w:val="24"/>
          </w:rPr>
          <w:t>Ce que proposent</w:t>
        </w:r>
      </w:hyperlink>
      <w:r w:rsidR="00B24C8E">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le Conseil d’Analyse Économique </w:t>
      </w:r>
      <w:hyperlink r:id="rId13" w:history="1">
        <w:r w:rsidR="00B24C8E">
          <w:rPr>
            <w:rStyle w:val="InternetLink"/>
            <w:rFonts w:ascii="Liberation Serif" w:hAnsi="Liberation Serif"/>
            <w:sz w:val="24"/>
          </w:rPr>
          <w:t>propose</w:t>
        </w:r>
      </w:hyperlink>
      <w:r w:rsidR="00B24C8E">
        <w:rPr>
          <w:rFonts w:ascii="Liberation Serif" w:eastAsia="Calibri" w:hAnsi="Liberation Serif" w:cs="Calibri"/>
          <w:sz w:val="24"/>
        </w:rPr>
        <w:t xml:space="preserve"> ainsi de verser un dividende plus élevé aux ménages les plus modestes, et de ne pas en verser aux ménages les plus riches : la part des perdants parmi la moitié les plus modestes serait alors limitée à 14 % (Figure 2). Si beaucoup sont dubitatifs quant à l’utilité d’une mesure qui reprend d’une main ce qu’elle donne de l’autre, le site </w:t>
      </w:r>
      <w:r w:rsidR="00C5171D">
        <w:rPr>
          <w:rFonts w:ascii="Liberation Serif" w:eastAsia="Calibri" w:hAnsi="Liberation Serif" w:cs="Calibri"/>
          <w:sz w:val="24"/>
        </w:rPr>
        <w:t xml:space="preserve">de </w:t>
      </w:r>
      <w:hyperlink r:id="rId14" w:history="1">
        <w:r w:rsidR="00C5171D" w:rsidRPr="00C5171D">
          <w:rPr>
            <w:rStyle w:val="Hyperlink"/>
            <w:rFonts w:ascii="Liberation Serif" w:eastAsia="Calibri" w:hAnsi="Liberation Serif" w:cs="Calibri"/>
            <w:sz w:val="24"/>
          </w:rPr>
          <w:t>Réseau Action Climat</w:t>
        </w:r>
      </w:hyperlink>
      <w:r w:rsidR="00B24C8E">
        <w:rPr>
          <w:rFonts w:ascii="Liberation Serif" w:eastAsia="Calibri" w:hAnsi="Liberation Serif" w:cs="Calibri"/>
          <w:sz w:val="24"/>
        </w:rPr>
        <w:t xml:space="preserve"> devrait rassurer les sceptiques, car il explique pédagogiquement comment les variations de prix induisent des changements de comportement vertueux, et il permet à toute personne de simuler l’impact d’une taxe &amp; dividende sur son pouvoir d’achat. </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Cela dit, cette simulation risque de ne pas suffire à convaincre les gens qu’ils pourraient sortir gagnants de l’instauration d’une taxe, car une grande méfiance s’est installée envers toute forme de taxation des carburants. Ainsi, même si 61 % des gens gagneraient en pouvoir d’achat suite à une taxe &amp; dividende uniforme, seuls 14 % </w:t>
      </w:r>
      <w:r>
        <w:rPr>
          <w:rFonts w:ascii="Liberation Serif" w:eastAsia="Calibri" w:hAnsi="Liberation Serif" w:cs="Calibri"/>
          <w:sz w:val="24"/>
        </w:rPr>
        <w:lastRenderedPageBreak/>
        <w:t>estiment que ce serait le cas pour leur ménage. 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Et c’est une question de justice que d’étendre le principe pollueur-payeur à toutes les émissions de gaz à effet de serre. Pour autant, une taxe &amp; dividende d’un montant modéré ne peut suffire à enclencher la transition écologique : avec une hausse de la Contribution Climat Énergie de 50€ par tonne de CO</w:t>
      </w:r>
      <w:r>
        <w:rPr>
          <w:rFonts w:ascii="Liberation Serif" w:eastAsia="Calibri" w:hAnsi="Liberation Serif" w:cs="Calibri"/>
          <w:sz w:val="24"/>
          <w:vertAlign w:val="subscript"/>
        </w:rPr>
        <w:t>2</w:t>
      </w:r>
      <w:r>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d’autres mesures, et notamment pour offrir des alternatives à la voiture thermique </w:t>
      </w:r>
      <w:bookmarkStart w:id="0" w:name="_GoBack"/>
      <w:r w:rsidR="00C416E2">
        <w:pict>
          <v:shape id="Frame2" o:spid="_x0000_s1032" type="#_x0000_t202" style="position:absolute;left:0;text-align:left;margin-left:-71.5pt;margin-top:218.45pt;width:283.4pt;height:193.05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4B491A5D" wp14:editId="4E853A6D">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C416E2">
        <w:pict>
          <v:shape id="Frame3" o:spid="_x0000_s1030" type="#_x0000_t202" style="position:absolute;left:0;text-align:left;margin-left:215.3pt;margin-top:217.4pt;width:290.8pt;height:189.6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1vS08ICAACzBwAA&#10;HwAAAGNsaXBib2FyZC9kcmF3aW5ncy9kcmF3aW5nMS54bWzUVdtuGjEQfa/Ufxj5HRZCuBRliRJS&#10;oqYoRWzzAYPxgpVde2WbLfRr+prvyI91vGsITaVGSvOSF5i1x8fnjM/YZ+fbPINSGCu1ilm72WIg&#10;FNdLqVYxu/s+aQwYWIdqiZlWImY7Ydn56OOHMxyuDBZryYEQlB1izNbOFcMosnwtcrRNXQhFc6k2&#10;OTr6NKtoafAHIedZdNJq9aIcpWKjJ6grdAgbI18BlWl+L5ZjVCVagsz48HgkcMz4/yPjUJXXpkiK&#10;mfHM+W05MyCXMaPKKcypRCwKEyGNPqNnq1ZPANvU5D5fpylsY9YZ9PudNmHtKO71u51Bq8YTWwfc&#10;J/Q+ddo9SuCUcXLaGnS73bDj+tsLGHz9+QUUIloTouCIpC08RVX+rbq/Vz0xJL5z0O4zwW0vNVFu&#10;+9GqBPv1NlTvrcQfaOOwMNZdC52DD2JmBHeVxbCcWlfz2KdUpPZU3DapRHrOy52Xu6B/EpF9UbY6&#10;XbcPzD5Y7ANUfK1NzOqtlL7YOJ3KsF2N4xEz6xK3y0RlkGo3X6UczbTagIK5D3yqLfilSEM0cxZK&#10;zGLWa1VuILl/zF+k7p+Z1TwtClWvjGu8NPRdnprGZE5d/pNOqk0bAPVfm8G9MP5GoAGPLdKUKlmX&#10;kISgkwrcrhApcrL8VC6EoTGtIBFGpsGyeJRyq52GBJWF8c1XSMbBKfYoZarX0sGVKFHhCo0MtiGm&#10;nkGoZhUv3qMEOoDA28t5f/UfTeRqYwScDuFGgKUDlxZSLLXBRSbg8RdslACHWwEczYKeC7ASMmGB&#10;mlA4R8Hjg0MplIONk5m0jw80VuiNgVQq6iFhoNls+quC/Ey/1SkLtZyhwfnBr0I17pLgV3pGXuPX&#10;MWZyURuMrP02Nn3iWXGn9vY6DrfJxoqkmFMP1XdQfd1Qhr9ao2fPVbU0PK/+TTz+Hv0GAAD//wMA&#10;UEsDBBQABgAIAAAAIQCcTl4h4gYAADocAAAaAAAAY2xpcGJvYXJkL3RoZW1lL3RoZW1lMS54bWzs&#10;WU9vG0UUvyPxHUZ7b+P/jaM6VezYDbRpo9gt6nG8Hu9OM7uzmhkn9Q21RyQkREEcqMSNAwIqtRKX&#10;8mkCRVCkfgXezOyud+I1SdsIKmgO8e7b37z/782b3ctX7kUMHRIhKY87XvVixUMk9vmExkHHuzUa&#10;XFj3kFQ4nmDGY9Lx5kR6Vzbff+8y3vAZTcYci8koJBFBwCiWG7jjhUolG2tr0gcylhd5QmJ4NuUi&#10;wgpuRbA2EfgIBERsrVaptNYiTGNvEzgqzajP4F+spCb4TAw1G4JiHIH0m9Mp9YnBTg6qGiHnsscE&#10;OsSs4wHPCT8akXvKQwxLBQ86XsX8eWubl9fwRrqIqRVrC+sG5i9dly6YHNSMTBGMc6HVQaN9aTvn&#10;bwBMLeP6/X6vX835GQD2fbDU6lLk2RisV7sZzwLIXi7z7lWalYaLL/CvL+nc7na7zXaqi2VqQPay&#10;sYRfr7QaWzUHb0AW31zCN7pbvV7LwRuQxbeW8INL7VbDxRtQyGh8sITWAR0MUu45ZMrZTil8HeDr&#10;lRS+QEE25NmlRUx5rFblWoTvcjEAgAYyrGiM1DwhU+xDTvZwNBYUawF4g+DCE0vy5RJJy0LSFzRR&#10;He/DBMdeAfLy2fcvnz1Bx/efHt//6fjBg+P7P1pGzqodHAfFVS++/ezPRx+jP5588+LhF+V4WcT/&#10;+sMnv/z8eTkQymdh3vMvH//29PHzrz79/buHJfAtgcdF+IhGRKIb5Ajt8wgMM15xNSdj8WorRiGm&#10;xRVbcSBxjLWUEv59FTroG3PM0ug4enSJ68HbAtpHGfDq7K6j8DAUM0VLJF8LIwe4yznrclHqhWta&#10;VsHNo1kclAsXsyJuH+PDMtk9HDvx7c8S6JtZWjqG90LiqLnHcKxwQGKikH7GDwgpse4OpY5fd6kv&#10;uORThe5Q1MW01CUjOnayabFoh0YQl3mZzRBvxze7t1GXszKrt8mhi4SqwKxE+RFhjhuv4pnCURnL&#10;EY5Y0eHXsQrLlBzOhV/E9aWCSAeEcdSfECnL1twUYG8h6NcwdKzSsO+yeeQihaIHZTyvY86LyG1+&#10;0AtxlJRhhzQOi9gP5AGkKEZ7XJXBd7lbIfoe4oDjleG+TYkT7tO7wS0aOCotEkQ/mYmSWF4l3Mnf&#10;4ZxNMTGtBpq606sjGv9d42YUOreVcH6NG1rl868flej9trbsLdi9ympm50SjXoU72Z57XEzo29+d&#10;t/Es3iNQEMtb1Lvm/K45e//55ryqns+/JS+6MDRoPYvYQduM3dHKqXtKGRuqOSPXpRm8Jew9kwEQ&#10;9TpzuiT5KSwJ4VJXMghwcIHAZg0SXH1EVTgMcQJDe9XTTAKZsg4kSriEw6Ihl/LWeBj8lT1qNvUh&#10;xHYOidUun1hyXZOzs0bOxmgVmANtJqiuGZxVWP1SyhRsex1hVa3UmaVVjWqmKTrScpO1i82hHFye&#10;mwbE3Jsw1CAYhcDLLTjfa9Fw2MGMTLTfbYyysJgonGeIZIgnJI2Rtns5RlUTpCxXlgzRdthk0AfH&#10;U7xWkNbWbN9A2lmCVBTXWCEui96bRCnL4EWUgNvJcmRxsThZjI46XrtZa3rIx0nHm8I5GS6jBKIu&#10;9RyJWQBvmHwlbNqfWsymyhfRbGeGuUVQhVcf1u9LBjt9IBFSbWMZ2tQwj9IUYLGWZPWvNcGt52VA&#10;STc6mxb1dUiGf00L8KMbWjKdEl8Vg12gaN/Z27SV8pkiYhhOjtCYzcQ+hvDrVAV7JlTC6w7TEfQN&#10;vJvT3jaP3OacFl3xjZjBWTpmSYjTdqtLNKtkCzcNKdfB3BXUA9tKdTfGvboppuTPyZRiGv/PTNH7&#10;Cbx9qE90BHx40Ssw0pXS8bhQIYculITUHwgYHEzvgGyB97vwGJIK3kqbX0EO9a+tOcvDlDUcItU+&#10;DZCgsB+pUBCyB23JZN8pzKrp3mVZspSRyaiCujKxao/JIWEj3QNbem/3UAipbrpJ2gYM7mT+ufdp&#10;BY0DPeQU683pZPnea2vgn558bDGDUW4fNgNN5v9cxXw8WOyqdr1Znu29RUP0g8WY1ciqAoQVtoJ2&#10;WvavqcIrbrW2Yy1ZXGtmykEUly0GYj4QJfAOCel/sP9R4TP7BUNvqCO+D70VwccLzQzSBrL6gh08&#10;kG6QljiGwckSbTJpVta16eikvZZt1uc86eZyTzhba3aWeL+is/PhzBXn1OJ5Ojv1sONrS1vpaojs&#10;yRIF0jQ7yJjAlH3J2sUJGgfVjgdfkyDQ9+AKvkd5QKtpWk3T4Ao+MsGwZL8Mdbz0IqPAc0vJMfWM&#10;Us8wjYzSyCjNjALDWfoNJqO0oFPpzybw2U7/eCj7QgITXPpFJWuqzue+zb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Dtb0tPCAgAA&#10;swcAAB8AAAAAAAAAAAAAAAAAIAIAAGNsaXBib2FyZC9kcmF3aW5ncy9kcmF3aW5nMS54bWxQSwEC&#10;LQAUAAYACAAAACEAnE5eIeIGAAA6HAAAGgAAAAAAAAAAAAAAAAAfBQAAY2xpcGJvYXJkL3RoZW1l&#10;L3RoZW1lMS54bWxQSwECLQAUAAYACAAAACEAnGZGQbsAAAAkAQAAKgAAAAAAAAAAAAAAAAA5DAAA&#10;Y2xpcGJvYXJkL2RyYXdpbmdzL19yZWxzL2RyYXdpbmcxLnhtbC5yZWxzUEsFBgAAAAAFAAUAZwEA&#10;ADwN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1B7C065B" wp14:editId="000C80DE">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w:r>
      <w:r>
        <w:rPr>
          <w:rFonts w:ascii="Liberation Serif" w:eastAsia="Calibri" w:hAnsi="Liberation Serif" w:cs="Calibri"/>
          <w:sz w:val="24"/>
        </w:rPr>
        <w:t xml:space="preserve">individuelle et au chauffage au fioul ou au gaz naturel.   </w:t>
      </w:r>
    </w:p>
    <w:bookmarkEnd w:id="0"/>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Si elle s’aligne sur les préférences des Françaises et des Français (Figures 3 et 4), c’est sur la mise au point de telles mesures complémentaires que la convention devrait se focaliser : comment isoler thermiquement les bâtiments et se passer de combustibles fossiles pour le chauffage, comment développer l’offre de transports en commun et l’usage du vélo, comment réduire les émissions associées aux véhicules thermiques qui subsisteront, etc. Si nous pouvons pointer des études sur ces sujets (</w:t>
      </w:r>
      <w:hyperlink r:id="rId17" w:history="1">
        <w:r>
          <w:rPr>
            <w:rStyle w:val="InternetLink"/>
            <w:rFonts w:ascii="Liberation Serif" w:hAnsi="Liberation Serif"/>
            <w:sz w:val="24"/>
          </w:rPr>
          <w:t xml:space="preserve">rapport </w:t>
        </w:r>
        <w:proofErr w:type="spellStart"/>
        <w:r>
          <w:rPr>
            <w:rStyle w:val="InternetLink"/>
            <w:rFonts w:ascii="Liberation Serif" w:hAnsi="Liberation Serif"/>
            <w:sz w:val="24"/>
          </w:rPr>
          <w:t>Sidler</w:t>
        </w:r>
        <w:proofErr w:type="spellEnd"/>
      </w:hyperlink>
      <w:r>
        <w:rPr>
          <w:rFonts w:ascii="Liberation Serif" w:eastAsia="Calibri" w:hAnsi="Liberation Serif" w:cs="Calibri"/>
          <w:sz w:val="24"/>
        </w:rPr>
        <w:t xml:space="preserve">, </w:t>
      </w:r>
      <w:hyperlink r:id="rId18" w:history="1">
        <w:r>
          <w:rPr>
            <w:rStyle w:val="InternetLink"/>
            <w:rFonts w:ascii="Liberation Serif" w:hAnsi="Liberation Serif"/>
            <w:sz w:val="24"/>
          </w:rPr>
          <w:t>transports</w:t>
        </w:r>
      </w:hyperlink>
      <w:r>
        <w:rPr>
          <w:rFonts w:ascii="Liberation Serif" w:eastAsia="Calibri" w:hAnsi="Liberation Serif" w:cs="Calibri"/>
          <w:sz w:val="24"/>
        </w:rPr>
        <w:t xml:space="preserve">, </w:t>
      </w:r>
      <w:hyperlink r:id="rId19" w:history="1">
        <w:r>
          <w:rPr>
            <w:rStyle w:val="InternetLink"/>
            <w:rFonts w:ascii="Liberation Serif" w:eastAsia="Calibri" w:hAnsi="Liberation Serif" w:cs="Calibri"/>
            <w:sz w:val="24"/>
          </w:rPr>
          <w:t xml:space="preserve">scénario </w:t>
        </w:r>
        <w:proofErr w:type="spellStart"/>
        <w:r>
          <w:rPr>
            <w:rStyle w:val="InternetLink"/>
            <w:rFonts w:ascii="Liberation Serif" w:eastAsia="Calibri" w:hAnsi="Liberation Serif" w:cs="Calibri"/>
            <w:sz w:val="24"/>
          </w:rPr>
          <w:t>négaWatt</w:t>
        </w:r>
        <w:proofErr w:type="spellEnd"/>
      </w:hyperlink>
      <w:r>
        <w:rPr>
          <w:rFonts w:ascii="Liberation Serif" w:eastAsia="Calibri" w:hAnsi="Liberation Serif" w:cs="Calibri"/>
          <w:sz w:val="24"/>
        </w:rPr>
        <w:t xml:space="preserve">…), ils ne relèvent pas de notre expertise. Nous pouvons en revanche donner notre avis sur les obstacles au financement d’un tel « Green New Deal ». En un mot : il n’y en a pas. Même si on lit </w:t>
      </w:r>
      <w:hyperlink r:id="rId20" w:history="1">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21" w:history="1">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nous semble être l’octroi de crédits garantis par la puissance publique, par exemple à travers la Caisse des dépôts ou La Banque Postale (et dont l’analogue au niveau européen est le </w:t>
      </w:r>
      <w:hyperlink r:id="rId22" w:history="1">
        <w:r>
          <w:rPr>
            <w:rStyle w:val="InternetLink"/>
            <w:rFonts w:ascii="Liberation Serif" w:hAnsi="Liberation Serif"/>
            <w:sz w:val="24"/>
          </w:rPr>
          <w:t>Pacte Finance-Climat</w:t>
        </w:r>
      </w:hyperlink>
      <w:r>
        <w:rPr>
          <w:rFonts w:ascii="Liberation Serif" w:eastAsia="Calibri" w:hAnsi="Liberation Serif" w:cs="Calibri"/>
          <w:sz w:val="24"/>
        </w:rPr>
        <w:t xml:space="preserve">). Dans un contexte de chômage élevé et de taux d’intérêt proches de zéro, </w:t>
      </w:r>
      <w:r>
        <w:rPr>
          <w:rFonts w:ascii="Liberation Serif" w:eastAsia="Calibri" w:hAnsi="Liberation Serif" w:cs="Calibri"/>
          <w:sz w:val="24"/>
        </w:rPr>
        <w:lastRenderedPageBreak/>
        <w:t xml:space="preserve">une telle approche permettrait de créer des emplois sans risque d’inflation et sans constituer un fardeau pour les contribuables futurs. Cela dit, le gouvernement risque de refuser une telle solution, car il l’interpréterait probablement comme une atteinte à la règle d’or budgétaire européenne (règle par ailleurs controversée). Il ne faut pas s’en inquiéter, car d’autres sources de financement sont possibles, telle qu’une mise à contribution des 10 % des ménages les plus aisés. </w: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Pour conclure, nous souhaitons souligner la nécessité d’une vision globale pour répondre à un défi qui concerne l’ensemble de l’humanité. Si les pays occidentaux sont devenus si riches, c’est notamment grâce à l’utilisation d’énergie fossile, qui a déjà réchauffé la planète de plus d’un degré. Ce faisant, les pays riches ont développé des infrastructures modernes auxquelles aspire désormais le reste du monde. Selon nous, les pays riches ont une responsabilité vis-à-vis du reste de l’humanité, qui va subir les conséquences climatiques de leur mode de vie privilégié. Aussi, il semble de notre devoir de financer le surcoût que représentent pour les pays à bas revenus les infrastructures non polluantes. Le </w:t>
      </w:r>
      <w:hyperlink r:id="rId23" w:history="1">
        <w:r>
          <w:rPr>
            <w:rStyle w:val="InternetLink"/>
            <w:rFonts w:ascii="Liberation Serif" w:hAnsi="Liberation Serif"/>
            <w:sz w:val="24"/>
          </w:rPr>
          <w:t>Fonds vert pour le climat</w:t>
        </w:r>
      </w:hyperlink>
      <w:r>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Nous proposons que la France porte sa contribution à 8 milliards de dollars par an, afin qu’une transition écologique s’amorce partout dans le monde.</w:t>
      </w:r>
    </w:p>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Warnings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Entreprises moins responsables que consommateurs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Autres pays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Pas de problème de financement</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Il y aura des perdants (exemple : viande)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Taxe efficace (biogaz vs. gaz naturel, subvention vers profit et riches, normes sur émissions par voiture ou sur isolation n’incitent pas à se passer de voiture ou à chauffer moins mais sont coûteuses pour certains car ils changent alors qu’ils auraient préféré payer), progressive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Mais taxe insuffisante ou bien effets distributifs horizontaux</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Sobriété nécessaire (dimensionnement, durée de vie, mutualisation)</w:t>
      </w:r>
    </w:p>
    <w:p w:rsidR="00B24C8E" w:rsidRDefault="00B24C8E" w:rsidP="00B24C8E">
      <w:pPr>
        <w:spacing w:after="200" w:line="276" w:lineRule="exact"/>
        <w:jc w:val="both"/>
        <w:rPr>
          <w:rFonts w:ascii="Liberation Serif" w:hAnsi="Liberation Serif"/>
          <w:sz w:val="24"/>
        </w:rPr>
      </w:pPr>
      <w:r>
        <w:rPr>
          <w:rFonts w:ascii="Liberation Serif" w:hAnsi="Liberation Serif"/>
          <w:sz w:val="24"/>
        </w:rPr>
        <w:t>Résultats/recommandations :</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Campagne médiatique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Intrication avec redistribution/justice (lier à international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Remplacement de la taxe de publicité foncière par obligation rénovation (10 Mds €)</w:t>
      </w:r>
    </w:p>
    <w:p w:rsidR="0053688A" w:rsidRPr="00B24C8E" w:rsidRDefault="0053688A" w:rsidP="00B24C8E"/>
    <w:sectPr w:rsidR="0053688A" w:rsidRPr="00B24C8E">
      <w:pgSz w:w="12240" w:h="15840"/>
      <w:pgMar w:top="1440" w:right="1800" w:bottom="1440" w:left="180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6E2" w:rsidRDefault="00C416E2">
      <w:r>
        <w:separator/>
      </w:r>
    </w:p>
  </w:endnote>
  <w:endnote w:type="continuationSeparator" w:id="0">
    <w:p w:rsidR="00C416E2" w:rsidRDefault="00C41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6E2" w:rsidRDefault="00C416E2">
      <w:r>
        <w:separator/>
      </w:r>
    </w:p>
  </w:footnote>
  <w:footnote w:type="continuationSeparator" w:id="0">
    <w:p w:rsidR="00C416E2" w:rsidRDefault="00C416E2">
      <w:r>
        <w:continuationSeparator/>
      </w:r>
    </w:p>
  </w:footnote>
  <w:footnote w:id="1">
    <w:p w:rsidR="00B24C8E" w:rsidRDefault="00B24C8E" w:rsidP="00B24C8E">
      <w:pPr>
        <w:pStyle w:val="FootnoteText"/>
        <w:rPr>
          <w:rFonts w:ascii="Liberation Serif" w:hAnsi="Liberation Serif"/>
        </w:rPr>
      </w:pPr>
      <w:r>
        <w:rPr>
          <w:rStyle w:val="FootnoteCharacters"/>
        </w:rPr>
        <w:footnoteRef/>
      </w:r>
      <w:r>
        <w:rPr>
          <w:rFonts w:ascii="Liberation Serif" w:hAnsi="Liberation Serif"/>
        </w:rPr>
        <w:tab/>
        <w:t xml:space="preserve">cf. la note </w:t>
      </w:r>
      <w:proofErr w:type="spellStart"/>
      <w:r>
        <w:rPr>
          <w:rFonts w:ascii="Liberation Serif" w:hAnsi="Liberation Serif"/>
        </w:rPr>
        <w:t>Cepremap</w:t>
      </w:r>
      <w:proofErr w:type="spellEnd"/>
      <w:r>
        <w:rPr>
          <w:rFonts w:ascii="Liberation Serif" w:hAnsi="Liberation Serif"/>
        </w:rPr>
        <w:t>. TODO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773CC"/>
    <w:rsid w:val="00083213"/>
    <w:rsid w:val="00110781"/>
    <w:rsid w:val="00240EBD"/>
    <w:rsid w:val="00250F01"/>
    <w:rsid w:val="002872A3"/>
    <w:rsid w:val="002F6EBE"/>
    <w:rsid w:val="00350348"/>
    <w:rsid w:val="0053688A"/>
    <w:rsid w:val="00695F10"/>
    <w:rsid w:val="006C06B0"/>
    <w:rsid w:val="007901E8"/>
    <w:rsid w:val="007B06FA"/>
    <w:rsid w:val="00800A1F"/>
    <w:rsid w:val="00835BBF"/>
    <w:rsid w:val="00854134"/>
    <w:rsid w:val="00881A53"/>
    <w:rsid w:val="00B24C8E"/>
    <w:rsid w:val="00B7113E"/>
    <w:rsid w:val="00C416E2"/>
    <w:rsid w:val="00C5171D"/>
    <w:rsid w:val="00CA3B82"/>
    <w:rsid w:val="00DD3F05"/>
    <w:rsid w:val="00E86495"/>
    <w:rsid w:val="00EA28FA"/>
    <w:rsid w:val="00EC76DB"/>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C517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ventioncitoyennepourleclimat.fr/" TargetMode="External"/><Relationship Id="rId13" Type="http://schemas.openxmlformats.org/officeDocument/2006/relationships/hyperlink" Target="http://www.cae-eco.fr/IMG/pdf/cae-note050v2.pdf" TargetMode="External"/><Relationship Id="rId18"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3" Type="http://schemas.microsoft.com/office/2007/relationships/stylesWithEffects" Target="stylesWithEffects.xml"/><Relationship Id="rId21" Type="http://schemas.openxmlformats.org/officeDocument/2006/relationships/hyperlink" Target="https://www.conventioncitoyennepourleclimat.fr/wp-content/uploads/2019/09/lettre-de-mission.pdf" TargetMode="External"/><Relationship Id="rId7" Type="http://schemas.openxmlformats.org/officeDocument/2006/relationships/endnotes" Target="endnotes.xml"/><Relationship Id="rId12" Type="http://schemas.openxmlformats.org/officeDocument/2006/relationships/hyperlink" Target="https://www.clcouncil.org/media/EconomistsStatement.pdf" TargetMode="External"/><Relationship Id="rId17" Type="http://schemas.openxmlformats.org/officeDocument/2006/relationships/hyperlink" Target="https://negawatt.org/telechargement/Docs/Sidler%20Renovation%20final%201107.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lemonde.fr/politique/article/2019/05/19/150-francais-tires-au-sort-six-mois-de-debat-la-taxe-carbone-sur-la-table-la-convention-citoyenne-se-precise_5464124_823448.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e-eco.fr/IMG/pdf/cae-note050v2.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reenclimate.fund/how-we-work/resource-mobilization" TargetMode="External"/><Relationship Id="rId10" Type="http://schemas.openxmlformats.org/officeDocument/2006/relationships/image" Target="media/image2.png"/><Relationship Id="rId19" Type="http://schemas.openxmlformats.org/officeDocument/2006/relationships/hyperlink" Target="https://negawatt.org/IMG/pdf/synthese_scenario-negawatt_2017-2050.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eseauactionclimat.org/calculateur-taxe-carbone-juste/" TargetMode="External"/><Relationship Id="rId22" Type="http://schemas.openxmlformats.org/officeDocument/2006/relationships/hyperlink" Target="https://www.pacte-climat.eu/fr/un-projet-de-tra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4</Pages>
  <Words>1776</Words>
  <Characters>9238</Characters>
  <Application>Microsoft Office Word</Application>
  <DocSecurity>0</DocSecurity>
  <Lines>146</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42</cp:revision>
  <dcterms:created xsi:type="dcterms:W3CDTF">2019-10-24T17:39:00Z</dcterms:created>
  <dcterms:modified xsi:type="dcterms:W3CDTF">2019-12-03T21:52:00Z</dcterms:modified>
  <dc:language>fr-FR</dc:language>
</cp:coreProperties>
</file>