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88A" w:rsidRDefault="00EA28FA">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Idées populaires pour la convention citoyenne sur le climat</w:t>
      </w:r>
    </w:p>
    <w:p w:rsidR="0053688A" w:rsidRDefault="00EA28FA">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 (&amp; Thomas Douenne ?)</w:t>
      </w:r>
    </w:p>
    <w:p w:rsidR="0053688A" w:rsidRDefault="0053688A">
      <w:pPr>
        <w:spacing w:after="200" w:line="276" w:lineRule="exact"/>
        <w:rPr>
          <w:rFonts w:ascii="Liberation Serif" w:eastAsia="Calibri" w:hAnsi="Liberation Serif" w:cs="Calibri"/>
          <w:sz w:val="24"/>
        </w:rPr>
      </w:pPr>
    </w:p>
    <w:p w:rsidR="0053688A" w:rsidRDefault="0053688A">
      <w:pPr>
        <w:spacing w:after="200" w:line="276" w:lineRule="exact"/>
        <w:rPr>
          <w:rFonts w:ascii="Liberation Serif" w:eastAsia="Calibri" w:hAnsi="Liberation Serif" w:cs="Calibri"/>
          <w:sz w:val="24"/>
        </w:rPr>
      </w:pP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 xml:space="preserve">150 citoyennes et citoyens tirés au sort se réunissent chaque week-end et mettent au point les mesures nécessaires pour rendre notre société soutenable. Comme le montre la </w:t>
      </w:r>
      <w:hyperlink r:id="rId7">
        <w:r>
          <w:rPr>
            <w:rStyle w:val="InternetLink"/>
            <w:rFonts w:ascii="Liberation Serif" w:hAnsi="Liberation Serif"/>
            <w:sz w:val="24"/>
          </w:rPr>
          <w:t>retransmission</w:t>
        </w:r>
      </w:hyperlink>
      <w:r>
        <w:rPr>
          <w:rFonts w:ascii="Liberation Serif" w:eastAsia="Calibri" w:hAnsi="Liberation Serif" w:cs="Calibri"/>
          <w:sz w:val="24"/>
        </w:rPr>
        <w:t xml:space="preserve"> de</w:t>
      </w:r>
      <w:r>
        <w:rPr>
          <w:rFonts w:ascii="Liberation Serif" w:eastAsia="Calibri" w:hAnsi="Liberation Serif" w:cs="Calibri"/>
          <w:sz w:val="24"/>
        </w:rPr>
        <w:t>s débats, ces personnes font un travail remarquable, prometteur tant pour la transition écologique que pour la démocratisation de l’écriture des lois. En tant que chercheurs en sciences sociales, nous avons étudié les effets de la taxation du carbone sur l</w:t>
      </w:r>
      <w:r>
        <w:rPr>
          <w:rFonts w:ascii="Liberation Serif" w:eastAsia="Calibri" w:hAnsi="Liberation Serif" w:cs="Calibri"/>
          <w:sz w:val="24"/>
        </w:rPr>
        <w:t>e pouvoir d’achat, et avons effectué une enquête représentative sur 3000 Françaises et Français pour comprendre leurs préférences en matière de politiques climatiques. En communiquant les principaux enseignements de nos travaux</w:t>
      </w:r>
      <w:r>
        <w:rPr>
          <w:rStyle w:val="FootnoteAnchor"/>
          <w:rFonts w:ascii="Liberation Serif" w:eastAsia="Calibri" w:hAnsi="Liberation Serif" w:cs="Calibri"/>
          <w:sz w:val="24"/>
        </w:rPr>
        <w:footnoteReference w:id="1"/>
      </w:r>
      <w:r>
        <w:rPr>
          <w:rFonts w:ascii="Liberation Serif" w:eastAsia="Calibri" w:hAnsi="Liberation Serif" w:cs="Calibri"/>
          <w:sz w:val="24"/>
        </w:rPr>
        <w:t xml:space="preserve"> et en livrant les recommand</w:t>
      </w:r>
      <w:r>
        <w:rPr>
          <w:rFonts w:ascii="Liberation Serif" w:eastAsia="Calibri" w:hAnsi="Liberation Serif" w:cs="Calibri"/>
          <w:sz w:val="24"/>
        </w:rPr>
        <w:t>ations politiques que nous en tirons personnellement, nous espérons contribuer à l’intelligence collective de la convention citoyenne.</w: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noProof/>
          <w:lang w:val="en-US" w:eastAsia="en-US" w:bidi="ar-SA"/>
        </w:rPr>
        <mc:AlternateContent>
          <mc:Choice Requires="wps">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970780" cy="85725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4970780" cy="857250"/>
                        </a:xfrm>
                        <a:prstGeom prst="rect">
                          <a:avLst/>
                        </a:prstGeom>
                      </wps:spPr>
                      <wps:txbx>
                        <w:txbxContent>
                          <w:p w:rsidR="0053688A" w:rsidRDefault="00EA28FA">
                            <w:pPr>
                              <w:pStyle w:val="Figure"/>
                            </w:pPr>
                            <w:r>
                              <w:rPr>
                                <w:noProof/>
                                <w:lang w:val="en-US" w:eastAsia="en-US" w:bidi="ar-SA"/>
                              </w:rPr>
                              <w:drawing>
                                <wp:inline distT="0" distB="0" distL="0" distR="0">
                                  <wp:extent cx="4970780" cy="58229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970780" cy="5822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xml:space="preserve">: </w:t>
                            </w:r>
                            <w:r w:rsidR="00083213">
                              <w:rPr>
                                <w:rFonts w:ascii="Liberation Serif" w:hAnsi="Liberation Serif"/>
                                <w:sz w:val="22"/>
                                <w:szCs w:val="22"/>
                              </w:rPr>
                              <w:t>E</w:t>
                            </w:r>
                            <w:r>
                              <w:rPr>
                                <w:rFonts w:ascii="Liberation Serif" w:hAnsi="Liberation Serif"/>
                                <w:sz w:val="22"/>
                                <w:szCs w:val="22"/>
                              </w:rPr>
                              <w:t>ffets</w:t>
                            </w:r>
                            <w:r w:rsidR="00083213">
                              <w:rPr>
                                <w:rFonts w:ascii="Liberation Serif" w:hAnsi="Liberation Serif"/>
                                <w:sz w:val="22"/>
                                <w:szCs w:val="22"/>
                              </w:rPr>
                              <w:t xml:space="preserve"> perçus</w:t>
                            </w:r>
                            <w:r>
                              <w:rPr>
                                <w:rFonts w:ascii="Liberation Serif" w:hAnsi="Liberation Serif"/>
                                <w:sz w:val="22"/>
                                <w:szCs w:val="22"/>
                              </w:rPr>
                              <w:t xml:space="preserve"> du changement climatique si rien n'est fait pour le limiter.</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5pt;width:391.4pt;height:67.5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" filled="f" stroked="f">
                <v:textbox inset="0,0,0,0">
                  <w:txbxContent>
                    <w:p w:rsidR="0053688A" w:rsidRDefault="00EA28FA">
                      <w:pPr>
                        <w:pStyle w:val="Figure"/>
                      </w:pPr>
                      <w:r>
                        <w:rPr>
                          <w:noProof/>
                          <w:lang w:val="en-US" w:eastAsia="en-US" w:bidi="ar-SA"/>
                        </w:rPr>
                        <w:drawing>
                          <wp:inline distT="0" distB="0" distL="0" distR="0">
                            <wp:extent cx="4970780" cy="58229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970780" cy="5822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xml:space="preserve">: </w:t>
                      </w:r>
                      <w:r w:rsidR="00083213">
                        <w:rPr>
                          <w:rFonts w:ascii="Liberation Serif" w:hAnsi="Liberation Serif"/>
                          <w:sz w:val="22"/>
                          <w:szCs w:val="22"/>
                        </w:rPr>
                        <w:t>E</w:t>
                      </w:r>
                      <w:r>
                        <w:rPr>
                          <w:rFonts w:ascii="Liberation Serif" w:hAnsi="Liberation Serif"/>
                          <w:sz w:val="22"/>
                          <w:szCs w:val="22"/>
                        </w:rPr>
                        <w:t>ffets</w:t>
                      </w:r>
                      <w:r w:rsidR="00083213">
                        <w:rPr>
                          <w:rFonts w:ascii="Liberation Serif" w:hAnsi="Liberation Serif"/>
                          <w:sz w:val="22"/>
                          <w:szCs w:val="22"/>
                        </w:rPr>
                        <w:t xml:space="preserve"> perçus</w:t>
                      </w:r>
                      <w:r>
                        <w:rPr>
                          <w:rFonts w:ascii="Liberation Serif" w:hAnsi="Liberation Serif"/>
                          <w:sz w:val="22"/>
                          <w:szCs w:val="22"/>
                        </w:rPr>
                        <w:t xml:space="preserve"> du changement climatique si rien n'est fait pour le limiter.</w:t>
                      </w:r>
                    </w:p>
                  </w:txbxContent>
                </v:textbox>
                <w10:wrap type="square"/>
              </v:shape>
            </w:pict>
          </mc:Fallback>
        </mc:AlternateConten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 xml:space="preserve">Tout d’abord, la population française est largement consciente du changement climatique, et </w:t>
      </w:r>
      <w:proofErr w:type="gramStart"/>
      <w:r>
        <w:rPr>
          <w:rFonts w:ascii="Liberation Serif" w:eastAsia="Calibri" w:hAnsi="Liberation Serif" w:cs="Calibri"/>
          <w:sz w:val="24"/>
        </w:rPr>
        <w:t>inquiète</w:t>
      </w:r>
      <w:proofErr w:type="gramEnd"/>
      <w:r>
        <w:rPr>
          <w:rFonts w:ascii="Liberation Serif" w:eastAsia="Calibri" w:hAnsi="Liberation Serif" w:cs="Calibri"/>
          <w:sz w:val="24"/>
        </w:rPr>
        <w:t xml:space="preserve"> de ses conséquences (Figure 1). Et ce, même si la plupart des gens ignore des faits scientifiques basiques tels que l’importance des émissions engendrées p</w:t>
      </w:r>
      <w:r>
        <w:rPr>
          <w:rFonts w:ascii="Liberation Serif" w:eastAsia="Calibri" w:hAnsi="Liberation Serif" w:cs="Calibri"/>
          <w:sz w:val="24"/>
        </w:rPr>
        <w:t>ar la consommation de viande rouge, ou l’ampleur de l’effort nécessaire pour espérer contenir le réchauffement climatique à +2</w:t>
      </w:r>
      <w:r w:rsidR="00083213">
        <w:rPr>
          <w:rFonts w:ascii="Liberation Serif" w:eastAsia="Calibri" w:hAnsi="Liberation Serif" w:cs="Calibri"/>
          <w:sz w:val="24"/>
        </w:rPr>
        <w:t>°C en 2100 :</w:t>
      </w:r>
      <w:r>
        <w:rPr>
          <w:rFonts w:ascii="Liberation Serif" w:eastAsia="Calibri" w:hAnsi="Liberation Serif" w:cs="Calibri"/>
          <w:sz w:val="24"/>
        </w:rPr>
        <w:t xml:space="preserve"> la division par au moins 5 de nos émissions de gaz à effet de serre d’ici 2050. Nous observons que les gens les plus i</w:t>
      </w:r>
      <w:r>
        <w:rPr>
          <w:rFonts w:ascii="Liberation Serif" w:eastAsia="Calibri" w:hAnsi="Liberation Serif" w:cs="Calibri"/>
          <w:sz w:val="24"/>
        </w:rPr>
        <w:t>nformés sur le changement climatique sont plus inquiets que les autres quant à ses effets, et soutiennent davantage de politiques climatiques. Ainsi, notre première recommandation (et elle fait écho à des propositions similaires de la convention citoyenne)</w:t>
      </w:r>
      <w:r>
        <w:rPr>
          <w:rFonts w:ascii="Liberation Serif" w:eastAsia="Calibri" w:hAnsi="Liberation Serif" w:cs="Calibri"/>
          <w:sz w:val="24"/>
        </w:rPr>
        <w:t xml:space="preserve"> consiste à lancer une campagne d’information massive et durable, afin que tout le monde acquière une compréhension satisfaisante des problèmes sociétaux et des solutions possibles (en incluant au passage d’autres enjeux que le changement climatique). Ne s</w:t>
      </w:r>
      <w:r>
        <w:rPr>
          <w:rFonts w:ascii="Liberation Serif" w:eastAsia="Calibri" w:hAnsi="Liberation Serif" w:cs="Calibri"/>
          <w:sz w:val="24"/>
        </w:rPr>
        <w:t>erait-il pas souhaitable d’imposer aux principales chaînes de télévision et de radio la diffusion de documentaires tous les jours pendant un an, disons de 21h à 22h ? Une telle décision pourrait en tous cas être soumise à referendum.</w: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 xml:space="preserve">Notre enquête révèle </w:t>
      </w:r>
      <w:r>
        <w:rPr>
          <w:rFonts w:ascii="Liberation Serif" w:eastAsia="Calibri" w:hAnsi="Liberation Serif" w:cs="Calibri"/>
          <w:sz w:val="24"/>
        </w:rPr>
        <w:t>que deux tiers des Françaises et des Français sont prêts à changer de mode de vie, en mangeant peu de viande rouge et n’utilisant presque plus de carburants, mais à la condition que l’effort soit commun et partagé équitablement. Cette condition n’était pas</w:t>
      </w:r>
      <w:r>
        <w:rPr>
          <w:rFonts w:ascii="Liberation Serif" w:eastAsia="Calibri" w:hAnsi="Liberation Serif" w:cs="Calibri"/>
          <w:sz w:val="24"/>
        </w:rPr>
        <w:t xml:space="preserve"> vérifiée par la taxe sur les carburants instaurée par le gouvernement (et gelée suite aux protestations des Gilets jaunes), notamment car elle ne prévoyait pas </w:t>
      </w:r>
      <w:r>
        <w:rPr>
          <w:rFonts w:ascii="Liberation Serif" w:eastAsia="Calibri" w:hAnsi="Liberation Serif" w:cs="Calibri"/>
          <w:sz w:val="24"/>
        </w:rPr>
        <w:lastRenderedPageBreak/>
        <w:t>de compenser pour la hausse des prix les ménages qui ont déjà du mal à boucler leurs fins de mo</w:t>
      </w:r>
      <w:r>
        <w:rPr>
          <w:rFonts w:ascii="Liberation Serif" w:eastAsia="Calibri" w:hAnsi="Liberation Serif" w:cs="Calibri"/>
          <w:sz w:val="24"/>
        </w:rPr>
        <w:t>is. Cette baisse de pouvoir d’achat chez les plus modestes n’était tout simplement pas acceptable alors que la plupart des gens souhaite une réduction des inégalités. En effet, pourquoi se soucier des générations futures si on néglige les injustices actuel</w:t>
      </w:r>
      <w:r>
        <w:rPr>
          <w:rFonts w:ascii="Liberation Serif" w:eastAsia="Calibri" w:hAnsi="Liberation Serif" w:cs="Calibri"/>
          <w:sz w:val="24"/>
        </w:rPr>
        <w:t>les ?</w:t>
      </w:r>
    </w:p>
    <w:p w:rsidR="0053688A" w:rsidRDefault="00083213">
      <w:pPr>
        <w:spacing w:after="200" w:line="276" w:lineRule="exact"/>
        <w:jc w:val="both"/>
        <w:rPr>
          <w:rFonts w:ascii="Liberation Serif" w:eastAsia="Calibri" w:hAnsi="Liberation Serif" w:cs="Calibri"/>
          <w:sz w:val="24"/>
        </w:rPr>
      </w:pPr>
      <w:r>
        <w:rPr>
          <w:noProof/>
        </w:rPr>
        <w:pict>
          <v:shape id="Frame4" o:spid="_x0000_s1026" type="#_x0000_t202" style="position:absolute;left:0;text-align:left;margin-left:96.45pt;margin-top:259.4pt;width:255.8pt;height:254.6pt;z-index:25165926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" filled="f" stroked="f">
            <v:textbox inset="0,0,0,0">
              <w:txbxContent>
                <w:p w:rsidR="00083213" w:rsidRDefault="00083213" w:rsidP="00083213">
                  <w:pPr>
                    <w:pStyle w:val="Figure"/>
                  </w:pPr>
                  <w:r>
                    <w:rPr>
                      <w:noProof/>
                      <w:lang w:val="en-US" w:eastAsia="en-US" w:bidi="ar-SA"/>
                    </w:rPr>
                    <w:drawing>
                      <wp:inline distT="0" distB="0" distL="0" distR="0" wp14:anchorId="761DE17B" wp14:editId="7360304E">
                        <wp:extent cx="3248660" cy="2639695"/>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9"/>
                                <a:stretch>
                                  <a:fillRect/>
                                </a:stretch>
                              </pic:blipFill>
                              <pic:spPr bwMode="auto">
                                <a:xfrm>
                                  <a:off x="0" y="0"/>
                                  <a:ext cx="3248660" cy="26396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xml:space="preserve">: Transfert net reçu par décile de revenus dans le cadre d'une taxe &amp; dividende progressive. Source: </w:t>
                  </w:r>
                  <w:hyperlink r:id="rId10">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w:r>
      <w:r w:rsidR="00EA28FA">
        <w:rPr>
          <w:rFonts w:ascii="Liberation Serif" w:eastAsia="Calibri" w:hAnsi="Liberation Serif" w:cs="Calibri"/>
          <w:sz w:val="24"/>
        </w:rPr>
        <w:tab/>
        <w:t xml:space="preserve">Or, même sans mesure de justice sociale plus générale, la taxe carbone elle-même peut être conçue de façon à avantager les plus modestes. </w:t>
      </w:r>
      <w:hyperlink r:id="rId11">
        <w:r w:rsidR="00EA28FA">
          <w:rPr>
            <w:rStyle w:val="InternetLink"/>
            <w:rFonts w:ascii="Liberation Serif" w:hAnsi="Liberation Serif"/>
            <w:sz w:val="24"/>
          </w:rPr>
          <w:t>Ce que proposent</w:t>
        </w:r>
      </w:hyperlink>
      <w:r w:rsidR="00EA28FA">
        <w:rPr>
          <w:rFonts w:ascii="Liberation Serif" w:eastAsia="Calibri" w:hAnsi="Liberation Serif" w:cs="Calibri"/>
          <w:sz w:val="24"/>
        </w:rPr>
        <w:t xml:space="preserve"> plus de 3000 économ</w:t>
      </w:r>
      <w:r w:rsidR="00EA28FA">
        <w:rPr>
          <w:rFonts w:ascii="Liberation Serif" w:eastAsia="Calibri" w:hAnsi="Liberation Serif" w:cs="Calibri"/>
          <w:sz w:val="24"/>
        </w:rPr>
        <w:t>istes, dont 27 « prix Nobel », c’est une « taxe &amp; dividende » : une taxe carbone dont les recettes sont redistribuées directement aux gens. Ainsi, les ménages responsables de moins d’émissions que la moyenne gagneraient en pouvoir d’achat, puisque le divid</w:t>
      </w:r>
      <w:r w:rsidR="00EA28FA">
        <w:rPr>
          <w:rFonts w:ascii="Liberation Serif" w:eastAsia="Calibri" w:hAnsi="Liberation Serif" w:cs="Calibri"/>
          <w:sz w:val="24"/>
        </w:rPr>
        <w:t>ende qu’ils recevraient serait plus élevé que la hausse de leurs dépenses due à la taxe. Or, les statistiques montrent que ce sont généralement les plus modestes qui émettent moins que la moyenne, et qui seraient donc gagnants grâce à une telle mesure. Cer</w:t>
      </w:r>
      <w:r w:rsidR="00EA28FA">
        <w:rPr>
          <w:rFonts w:ascii="Liberation Serif" w:eastAsia="Calibri" w:hAnsi="Liberation Serif" w:cs="Calibri"/>
          <w:sz w:val="24"/>
        </w:rPr>
        <w:t>tes, les émissions ne dépendent pas que du revenu, et certains ménages modestes seraient quand même perdants si le dividende était le même pour chaque personne. Pour contrer ce problème et renforcer la progressivité de la mesure, le Conseil d’Analyse Écono</w:t>
      </w:r>
      <w:r w:rsidR="00EA28FA">
        <w:rPr>
          <w:rFonts w:ascii="Liberation Serif" w:eastAsia="Calibri" w:hAnsi="Liberation Serif" w:cs="Calibri"/>
          <w:sz w:val="24"/>
        </w:rPr>
        <w:t xml:space="preserve">mique </w:t>
      </w:r>
      <w:hyperlink r:id="rId12">
        <w:r w:rsidR="00EA28FA">
          <w:rPr>
            <w:rStyle w:val="InternetLink"/>
            <w:rFonts w:ascii="Liberation Serif" w:hAnsi="Liberation Serif"/>
            <w:sz w:val="24"/>
          </w:rPr>
          <w:t>propose</w:t>
        </w:r>
      </w:hyperlink>
      <w:r w:rsidR="00EA28FA">
        <w:rPr>
          <w:rFonts w:ascii="Liberation Serif" w:eastAsia="Calibri" w:hAnsi="Liberation Serif" w:cs="Calibri"/>
          <w:sz w:val="24"/>
        </w:rPr>
        <w:t xml:space="preserve"> ainsi de verser un dividende plus élevé aux ménages les plus modestes, et de ne pas en verser aux ménages les plus riches (Figure 2). Beaucoup sont dubitatifs quant à l’utilit</w:t>
      </w:r>
      <w:r w:rsidR="00EA28FA">
        <w:rPr>
          <w:rFonts w:ascii="Liberation Serif" w:eastAsia="Calibri" w:hAnsi="Liberation Serif" w:cs="Calibri"/>
          <w:sz w:val="24"/>
        </w:rPr>
        <w:t xml:space="preserve">é d’une mesure qui reprend d’une main ce qu’elle donne de l’autre : le site </w:t>
      </w:r>
      <w:proofErr w:type="spellStart"/>
      <w:r w:rsidR="00EA28FA">
        <w:rPr>
          <w:rFonts w:ascii="Liberation Serif" w:eastAsia="Calibri" w:hAnsi="Liberation Serif" w:cs="Calibri"/>
          <w:sz w:val="24"/>
        </w:rPr>
        <w:t>TODO+heterogeneite</w:t>
      </w:r>
      <w:proofErr w:type="spellEnd"/>
      <w:r w:rsidR="00EA28FA">
        <w:rPr>
          <w:rFonts w:ascii="Liberation Serif" w:eastAsia="Calibri" w:hAnsi="Liberation Serif" w:cs="Calibri"/>
          <w:sz w:val="24"/>
        </w:rPr>
        <w:t xml:space="preserve"> devrait rassurer les sceptiques, car il explique pédagogiquement comment les variations de prix induisent des changements de comportement vertueux, et il permet </w:t>
      </w:r>
      <w:r w:rsidR="00EA28FA">
        <w:rPr>
          <w:rFonts w:ascii="Liberation Serif" w:eastAsia="Calibri" w:hAnsi="Liberation Serif" w:cs="Calibri"/>
          <w:sz w:val="24"/>
        </w:rPr>
        <w:t xml:space="preserve">à toute personne de simuler l’impact d’une taxe &amp; dividende sur son pouvoir d’achat. </w: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Cela dit, cette simulation risque de ne pas suffire à convaincre les gens qu’ils pourraient sortir gagnants de l’instauration d’une taxe, car une grande méfiance s’est i</w:t>
      </w:r>
      <w:r>
        <w:rPr>
          <w:rFonts w:ascii="Liberation Serif" w:eastAsia="Calibri" w:hAnsi="Liberation Serif" w:cs="Calibri"/>
          <w:sz w:val="24"/>
        </w:rPr>
        <w:t xml:space="preserve">nstallée envers toute forme de taxation des carburants. Ainsi, même si </w:t>
      </w:r>
      <w:r w:rsidR="00083213">
        <w:rPr>
          <w:rFonts w:ascii="Liberation Serif" w:eastAsia="Calibri" w:hAnsi="Liberation Serif" w:cs="Calibri"/>
          <w:sz w:val="24"/>
        </w:rPr>
        <w:t>61</w:t>
      </w:r>
      <w:r>
        <w:rPr>
          <w:rFonts w:ascii="Liberation Serif" w:eastAsia="Calibri" w:hAnsi="Liberation Serif" w:cs="Calibri"/>
          <w:sz w:val="24"/>
        </w:rPr>
        <w:t xml:space="preserve"> % des </w:t>
      </w:r>
      <w:r w:rsidR="00083213">
        <w:rPr>
          <w:rFonts w:ascii="Liberation Serif" w:eastAsia="Calibri" w:hAnsi="Liberation Serif" w:cs="Calibri"/>
          <w:sz w:val="24"/>
        </w:rPr>
        <w:t>gens</w:t>
      </w:r>
      <w:r>
        <w:rPr>
          <w:rFonts w:ascii="Liberation Serif" w:eastAsia="Calibri" w:hAnsi="Liberation Serif" w:cs="Calibri"/>
          <w:sz w:val="24"/>
        </w:rPr>
        <w:t xml:space="preserve"> gagneraient en pouvoir d’achat suite à une taxe &amp; dividende uniforme, seuls 14 % </w:t>
      </w:r>
      <w:r>
        <w:rPr>
          <w:rFonts w:ascii="Liberation Serif" w:eastAsia="Calibri" w:hAnsi="Liberation Serif" w:cs="Calibri"/>
          <w:sz w:val="24"/>
        </w:rPr>
        <w:lastRenderedPageBreak/>
        <w:t>estime</w:t>
      </w:r>
      <w:r w:rsidR="00083213">
        <w:rPr>
          <w:rFonts w:ascii="Liberation Serif" w:eastAsia="Calibri" w:hAnsi="Liberation Serif" w:cs="Calibri"/>
          <w:sz w:val="24"/>
        </w:rPr>
        <w:t>nt</w:t>
      </w:r>
      <w:r>
        <w:rPr>
          <w:rFonts w:ascii="Liberation Serif" w:eastAsia="Calibri" w:hAnsi="Liberation Serif" w:cs="Calibri"/>
          <w:sz w:val="24"/>
        </w:rPr>
        <w:t xml:space="preserve"> que ce serait le cas pour leur ménage. </w:t>
      </w:r>
      <w:r w:rsidR="00083213" w:rsidRPr="00083213">
        <w:rPr>
          <w:rFonts w:ascii="Liberation Serif" w:eastAsia="Calibri" w:hAnsi="Liberation Serif" w:cs="Calibri"/>
          <w:sz w:val="24"/>
        </w:rPr>
        <w:t xml:space="preserve">Une taxe &amp; dividende restreinte au kérosène serait en revanche largement acceptée, car taxer le kérosène est populaire même sans « dividende ». Avec le temps, et si des alternatives aux énergies fossiles sont développées en parallèle, une telle mesure pourrait même convaincre par l’expérience des vertus d’une taxe &amp; dividende étendue aux autres secteurs. Pour autant, même si une taxe &amp; dividende étendrait comme il se doit le principe pollueur-payeur à de nouveaux secteurs, elle ne doit pas être vue comme une panacée : avec une hausse de la Contribution Climat Énergie de 50€ par tonne de CO2, ce qui correspond à une hausse du prix de l’essence de 11 centimes par litre, les émissions ne seraient réduites que de 1 %. Pour atteindre l’objectif de 40 % de réduction, on pourrait rendre cette taxe bien plus élevée, mais il faudrait surtout d’autres mesures, et notamment pour offrir des alternatives </w:t>
      </w:r>
      <w:r w:rsidR="00083213">
        <w:rPr>
          <w:noProof/>
          <w:lang w:val="en-US" w:eastAsia="en-US" w:bidi="ar-SA"/>
        </w:rPr>
        <mc:AlternateContent>
          <mc:Choice Requires="wps">
            <w:drawing>
              <wp:anchor distT="0" distB="0" distL="0" distR="0" simplePos="0" relativeHeight="4" behindDoc="0" locked="0" layoutInCell="1" allowOverlap="1" wp14:anchorId="47379242" wp14:editId="39F2C8CA">
                <wp:simplePos x="0" y="0"/>
                <wp:positionH relativeFrom="column">
                  <wp:posOffset>2734310</wp:posOffset>
                </wp:positionH>
                <wp:positionV relativeFrom="paragraph">
                  <wp:posOffset>2430780</wp:posOffset>
                </wp:positionV>
                <wp:extent cx="3693160" cy="2408555"/>
                <wp:effectExtent l="0" t="0" r="0" b="0"/>
                <wp:wrapSquare wrapText="largest"/>
                <wp:docPr id="7" name="Frame3"/>
                <wp:cNvGraphicFramePr/>
                <a:graphic xmlns:a="http://schemas.openxmlformats.org/drawingml/2006/main">
                  <a:graphicData uri="http://schemas.microsoft.com/office/word/2010/wordprocessingShape">
                    <wps:wsp>
                      <wps:cNvSpPr txBox="1"/>
                      <wps:spPr>
                        <a:xfrm>
                          <a:off x="0" y="0"/>
                          <a:ext cx="3693160" cy="2408555"/>
                        </a:xfrm>
                        <a:prstGeom prst="rect">
                          <a:avLst/>
                        </a:prstGeom>
                      </wps:spPr>
                      <wps:txbx>
                        <w:txbxContent>
                          <w:p w:rsidR="0053688A" w:rsidRDefault="00EA28FA">
                            <w:pPr>
                              <w:pStyle w:val="Figure"/>
                            </w:pPr>
                            <w:r>
                              <w:rPr>
                                <w:noProof/>
                                <w:lang w:val="en-US" w:eastAsia="en-US" w:bidi="ar-SA"/>
                              </w:rPr>
                              <w:drawing>
                                <wp:inline distT="0" distB="0" distL="0" distR="0" wp14:anchorId="303FD64B" wp14:editId="1C0CB8EA">
                                  <wp:extent cx="3693160" cy="198056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3"/>
                                          <a:stretch>
                                            <a:fillRect/>
                                          </a:stretch>
                                        </pic:blipFill>
                                        <pic:spPr bwMode="auto">
                                          <a:xfrm>
                                            <a:off x="0" y="0"/>
                                            <a:ext cx="3693160" cy="1980565"/>
                                          </a:xfrm>
                                          <a:prstGeom prst="rect">
                                            <a:avLst/>
                                          </a:prstGeom>
                                        </pic:spPr>
                                      </pic:pic>
                                    </a:graphicData>
                                  </a:graphic>
                                </wp:inline>
                              </w:drawing>
                            </w:r>
                            <w:r>
                              <w:rPr>
                                <w:rFonts w:ascii="Liberation Serif" w:hAnsi="Liberation Serif"/>
                                <w:vanish/>
                                <w:sz w:val="22"/>
                                <w:szCs w:val="22"/>
                              </w:rPr>
                              <w:br/>
                            </w:r>
                            <w:r>
                              <w:rPr>
                                <w:rFonts w:ascii="Liberation Serif" w:hAnsi="Liberation Serif"/>
                                <w:sz w:val="22"/>
                                <w:szCs w:val="22"/>
                              </w:rPr>
                              <w:t xml:space="preserve">Figure </w:t>
                            </w:r>
                            <w:r w:rsidR="00083213">
                              <w:rPr>
                                <w:rFonts w:ascii="Liberation Serif" w:hAnsi="Liberation Serif"/>
                                <w:sz w:val="22"/>
                                <w:szCs w:val="22"/>
                              </w:rPr>
                              <w:t>4</w:t>
                            </w:r>
                            <w:r>
                              <w:rPr>
                                <w:rFonts w:ascii="Liberation Serif" w:hAnsi="Liberation Serif"/>
                                <w:sz w:val="22"/>
                                <w:szCs w:val="22"/>
                              </w:rPr>
                              <w:t>: Je serais favorable à une taxe carbone si les recettes étaient utilisées pour financer ...</w:t>
                            </w:r>
                          </w:p>
                        </w:txbxContent>
                      </wps:txbx>
                      <wps:bodyPr lIns="0" tIns="0" rIns="0" bIns="0" anchor="t">
                        <a:noAutofit/>
                      </wps:bodyPr>
                    </wps:wsp>
                  </a:graphicData>
                </a:graphic>
              </wp:anchor>
            </w:drawing>
          </mc:Choice>
          <mc:Fallback>
            <w:pict>
              <v:shape id="Frame3" o:spid="_x0000_s1027" type="#_x0000_t202" style="position:absolute;left:0;text-align:left;margin-left:215.3pt;margin-top:191.4pt;width:290.8pt;height:189.6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" filled="f" stroked="f">
                <v:textbox inset="0,0,0,0">
                  <w:txbxContent>
                    <w:p w:rsidR="0053688A" w:rsidRDefault="00EA28FA">
                      <w:pPr>
                        <w:pStyle w:val="Figure"/>
                      </w:pPr>
                      <w:r>
                        <w:rPr>
                          <w:noProof/>
                          <w:lang w:val="en-US" w:eastAsia="en-US" w:bidi="ar-SA"/>
                        </w:rPr>
                        <w:drawing>
                          <wp:inline distT="0" distB="0" distL="0" distR="0" wp14:anchorId="303FD64B" wp14:editId="1C0CB8EA">
                            <wp:extent cx="3693160" cy="198056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3"/>
                                    <a:stretch>
                                      <a:fillRect/>
                                    </a:stretch>
                                  </pic:blipFill>
                                  <pic:spPr bwMode="auto">
                                    <a:xfrm>
                                      <a:off x="0" y="0"/>
                                      <a:ext cx="3693160" cy="1980565"/>
                                    </a:xfrm>
                                    <a:prstGeom prst="rect">
                                      <a:avLst/>
                                    </a:prstGeom>
                                  </pic:spPr>
                                </pic:pic>
                              </a:graphicData>
                            </a:graphic>
                          </wp:inline>
                        </w:drawing>
                      </w:r>
                      <w:r>
                        <w:rPr>
                          <w:rFonts w:ascii="Liberation Serif" w:hAnsi="Liberation Serif"/>
                          <w:vanish/>
                          <w:sz w:val="22"/>
                          <w:szCs w:val="22"/>
                        </w:rPr>
                        <w:br/>
                      </w:r>
                      <w:r>
                        <w:rPr>
                          <w:rFonts w:ascii="Liberation Serif" w:hAnsi="Liberation Serif"/>
                          <w:sz w:val="22"/>
                          <w:szCs w:val="22"/>
                        </w:rPr>
                        <w:t xml:space="preserve">Figure </w:t>
                      </w:r>
                      <w:r w:rsidR="00083213">
                        <w:rPr>
                          <w:rFonts w:ascii="Liberation Serif" w:hAnsi="Liberation Serif"/>
                          <w:sz w:val="22"/>
                          <w:szCs w:val="22"/>
                        </w:rPr>
                        <w:t>4</w:t>
                      </w:r>
                      <w:r>
                        <w:rPr>
                          <w:rFonts w:ascii="Liberation Serif" w:hAnsi="Liberation Serif"/>
                          <w:sz w:val="22"/>
                          <w:szCs w:val="22"/>
                        </w:rPr>
                        <w:t>: Je serais favorable à une taxe carbone si les recettes étaient utilisées pour financer ...</w:t>
                      </w:r>
                    </w:p>
                  </w:txbxContent>
                </v:textbox>
                <w10:wrap type="square" side="largest"/>
              </v:shape>
            </w:pict>
          </mc:Fallback>
        </mc:AlternateContent>
      </w:r>
      <w:r w:rsidR="00083213" w:rsidRPr="00083213">
        <w:rPr>
          <w:rFonts w:ascii="Liberation Serif" w:eastAsia="Calibri" w:hAnsi="Liberation Serif" w:cs="Calibri"/>
          <w:sz w:val="24"/>
        </w:rPr>
        <w:t xml:space="preserve">à la voiture thermique individuelle et au </w:t>
      </w:r>
      <w:r w:rsidR="00083213">
        <w:rPr>
          <w:noProof/>
        </w:rPr>
        <w:pict>
          <v:shape id="Frame2" o:spid="_x0000_s1027" type="#_x0000_t202" style="position:absolute;left:0;text-align:left;margin-left:-71.5pt;margin-top:192.45pt;width:283.4pt;height:193.05pt;z-index:25166131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" filled="f" stroked="f">
            <v:textbox inset="0,0,0,0">
              <w:txbxContent>
                <w:p w:rsidR="00083213" w:rsidRDefault="00083213" w:rsidP="00083213">
                  <w:pPr>
                    <w:pStyle w:val="Figure"/>
                  </w:pPr>
                  <w:r>
                    <w:rPr>
                      <w:noProof/>
                      <w:lang w:val="en-US" w:eastAsia="en-US" w:bidi="ar-SA"/>
                    </w:rPr>
                    <w:drawing>
                      <wp:inline distT="0" distB="0" distL="0" distR="0" wp14:anchorId="16B7DBF6" wp14:editId="267E2E28">
                        <wp:extent cx="3599180" cy="1930400"/>
                        <wp:effectExtent l="0" t="0" r="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3"/>
                                <a:stretch>
                                  <a:fillRect/>
                                </a:stretch>
                              </pic:blipFill>
                              <pic:spPr bwMode="auto">
                                <a:xfrm>
                                  <a:off x="0" y="0"/>
                                  <a:ext cx="3599180" cy="1930400"/>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t>3</w:t>
                  </w:r>
                  <w:r>
                    <w:rPr>
                      <w:rFonts w:ascii="Liberation Serif" w:hAnsi="Liberation Serif"/>
                      <w:sz w:val="22"/>
                      <w:szCs w:val="22"/>
                    </w:rPr>
                    <w:t>: Seriez-vous favorable aux mesures suivantes ?</w:t>
                  </w:r>
                </w:p>
              </w:txbxContent>
            </v:textbox>
            <w10:wrap type="topAndBottom"/>
          </v:shape>
        </w:pict>
      </w:r>
      <w:r w:rsidR="00083213" w:rsidRPr="00083213">
        <w:rPr>
          <w:rFonts w:ascii="Liberation Serif" w:eastAsia="Calibri" w:hAnsi="Liberation Serif" w:cs="Calibri"/>
          <w:sz w:val="24"/>
        </w:rPr>
        <w:t xml:space="preserve">chauffage au fioul ou au gaz naturel. </w:t>
      </w:r>
      <w:r>
        <w:rPr>
          <w:rFonts w:ascii="Liberation Serif" w:eastAsia="Calibri" w:hAnsi="Liberation Serif" w:cs="Calibri"/>
          <w:sz w:val="24"/>
        </w:rPr>
        <w:t xml:space="preserve"> </w:t>
      </w:r>
      <w:r>
        <w:rPr>
          <w:rFonts w:ascii="Liberation Serif" w:eastAsia="Calibri" w:hAnsi="Liberation Serif" w:cs="Calibri"/>
          <w:sz w:val="24"/>
        </w:rPr>
        <w:t xml:space="preserve"> </w:t>
      </w:r>
    </w:p>
    <w:p w:rsidR="00083213" w:rsidRDefault="00083213">
      <w:pPr>
        <w:spacing w:after="200" w:line="276" w:lineRule="exact"/>
        <w:jc w:val="both"/>
        <w:rPr>
          <w:rFonts w:ascii="Liberation Serif" w:eastAsia="Calibri" w:hAnsi="Liberation Serif" w:cs="Calibri"/>
          <w:sz w:val="24"/>
        </w:rPr>
      </w:pP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Si elle s’aligne sur</w:t>
      </w:r>
      <w:r>
        <w:rPr>
          <w:rFonts w:ascii="Liberation Serif" w:eastAsia="Calibri" w:hAnsi="Liberation Serif" w:cs="Calibri"/>
          <w:sz w:val="24"/>
        </w:rPr>
        <w:t xml:space="preserve"> les préférences des Françaises et des Français (Figures 3 et 4), c’est sur </w:t>
      </w:r>
      <w:r>
        <w:rPr>
          <w:rFonts w:ascii="Liberation Serif" w:eastAsia="Calibri" w:hAnsi="Liberation Serif" w:cs="Calibri"/>
          <w:sz w:val="24"/>
        </w:rPr>
        <w:t>la mise au point de telles mesures complémentaires que la convention devrait se focaliser : comment isoler thermiquement les bâtiments et se passer de combustibles fossiles pour</w:t>
      </w:r>
      <w:r>
        <w:rPr>
          <w:rFonts w:ascii="Liberation Serif" w:eastAsia="Calibri" w:hAnsi="Liberation Serif" w:cs="Calibri"/>
          <w:sz w:val="24"/>
        </w:rPr>
        <w:t xml:space="preserve"> le chauffage, comment développer l’offre de transports en commun et l’usage du vélo, comment réduire les émissions associées aux véhicules thermiques qui subsisteront, etc. Si nous pouvons pointer des études sur ces sujets (</w:t>
      </w:r>
      <w:hyperlink r:id="rId14">
        <w:r>
          <w:rPr>
            <w:rStyle w:val="InternetLink"/>
            <w:rFonts w:ascii="Liberation Serif" w:hAnsi="Liberation Serif"/>
            <w:sz w:val="24"/>
          </w:rPr>
          <w:t xml:space="preserve">rapport </w:t>
        </w:r>
        <w:proofErr w:type="spellStart"/>
        <w:r>
          <w:rPr>
            <w:rStyle w:val="InternetLink"/>
            <w:rFonts w:ascii="Liberation Serif" w:hAnsi="Liberation Serif"/>
            <w:sz w:val="24"/>
          </w:rPr>
          <w:t>Sidler</w:t>
        </w:r>
        <w:proofErr w:type="spellEnd"/>
      </w:hyperlink>
      <w:r>
        <w:rPr>
          <w:rFonts w:ascii="Liberation Serif" w:eastAsia="Calibri" w:hAnsi="Liberation Serif" w:cs="Calibri"/>
          <w:sz w:val="24"/>
        </w:rPr>
        <w:t xml:space="preserve">, </w:t>
      </w:r>
      <w:hyperlink r:id="rId15">
        <w:r>
          <w:rPr>
            <w:rStyle w:val="InternetLink"/>
            <w:rFonts w:ascii="Liberation Serif" w:hAnsi="Liberation Serif"/>
            <w:sz w:val="24"/>
          </w:rPr>
          <w:t>transports</w:t>
        </w:r>
      </w:hyperlink>
      <w:r>
        <w:rPr>
          <w:rFonts w:ascii="Liberation Serif" w:eastAsia="Calibri" w:hAnsi="Liberation Serif" w:cs="Calibri"/>
          <w:sz w:val="24"/>
        </w:rPr>
        <w:t xml:space="preserve">, </w:t>
      </w:r>
      <w:hyperlink r:id="rId16">
        <w:r>
          <w:rPr>
            <w:rStyle w:val="InternetLink"/>
            <w:rFonts w:ascii="Liberation Serif" w:eastAsia="Calibri" w:hAnsi="Liberation Serif" w:cs="Calibri"/>
            <w:color w:val="auto"/>
            <w:sz w:val="24"/>
          </w:rPr>
          <w:t xml:space="preserve">scénario </w:t>
        </w:r>
        <w:proofErr w:type="spellStart"/>
        <w:r>
          <w:rPr>
            <w:rStyle w:val="InternetLink"/>
            <w:rFonts w:ascii="Liberation Serif" w:eastAsia="Calibri" w:hAnsi="Liberation Serif" w:cs="Calibri"/>
            <w:color w:val="auto"/>
            <w:sz w:val="24"/>
          </w:rPr>
          <w:t>négaWatt</w:t>
        </w:r>
        <w:proofErr w:type="spellEnd"/>
      </w:hyperlink>
      <w:r>
        <w:rPr>
          <w:rFonts w:ascii="Liberation Serif" w:eastAsia="Calibri" w:hAnsi="Liberation Serif" w:cs="Calibri"/>
          <w:sz w:val="24"/>
        </w:rPr>
        <w:t xml:space="preserve">…), ils ne relèvent pas de notre expertise. Nous pouvons en revanche donner notre avis sur les obstacles au financement d’un tel « Green New Deal ». En un mot : il n’y en a pas. Même si on lit </w:t>
      </w:r>
      <w:hyperlink r:id="rId17">
        <w:r>
          <w:rPr>
            <w:rStyle w:val="InternetLink"/>
            <w:rFonts w:ascii="Liberation Serif" w:hAnsi="Liberation Serif"/>
            <w:sz w:val="24"/>
          </w:rPr>
          <w:t>dans la presse</w:t>
        </w:r>
      </w:hyperlink>
      <w:r>
        <w:rPr>
          <w:rFonts w:ascii="Liberation Serif" w:eastAsia="Calibri" w:hAnsi="Liberation Serif" w:cs="Calibri"/>
          <w:sz w:val="24"/>
        </w:rPr>
        <w:t xml:space="preserve"> que la convention citoyenne doit adosser chaque dépense à des recettes correspondan</w:t>
      </w:r>
      <w:r>
        <w:rPr>
          <w:rFonts w:ascii="Liberation Serif" w:eastAsia="Calibri" w:hAnsi="Liberation Serif" w:cs="Calibri"/>
          <w:sz w:val="24"/>
        </w:rPr>
        <w:t xml:space="preserve">tes, cette règle n’apparaît pas dans la </w:t>
      </w:r>
      <w:hyperlink r:id="rId18">
        <w:r>
          <w:rPr>
            <w:rStyle w:val="InternetLink"/>
            <w:rFonts w:ascii="Liberation Serif" w:hAnsi="Liberation Serif"/>
            <w:sz w:val="24"/>
          </w:rPr>
          <w:t>lettre de mission</w:t>
        </w:r>
      </w:hyperlink>
      <w:r>
        <w:rPr>
          <w:rFonts w:ascii="Liberation Serif" w:eastAsia="Calibri" w:hAnsi="Liberation Serif" w:cs="Calibri"/>
          <w:sz w:val="24"/>
        </w:rPr>
        <w:t xml:space="preserve"> de la convention. Mais afin de respecter cette règle non écrite, le financement le </w:t>
      </w:r>
      <w:r>
        <w:rPr>
          <w:rFonts w:ascii="Liberation Serif" w:eastAsia="Calibri" w:hAnsi="Liberation Serif" w:cs="Calibri"/>
          <w:sz w:val="24"/>
        </w:rPr>
        <w:t xml:space="preserve">plus judicieux pour les investissements écologiques publics nous semble être l’octroi de crédits garantis par l’État, par exemple à travers La Banque Postale (et dont l’analogue au niveau européen est le </w:t>
      </w:r>
      <w:hyperlink r:id="rId19">
        <w:r>
          <w:rPr>
            <w:rStyle w:val="InternetLink"/>
            <w:rFonts w:ascii="Liberation Serif" w:hAnsi="Liberation Serif"/>
            <w:sz w:val="24"/>
          </w:rPr>
          <w:t>Pacte Finance-Climat</w:t>
        </w:r>
      </w:hyperlink>
      <w:r>
        <w:rPr>
          <w:rFonts w:ascii="Liberation Serif" w:eastAsia="Calibri" w:hAnsi="Liberation Serif" w:cs="Calibri"/>
          <w:sz w:val="24"/>
        </w:rPr>
        <w:t>). Dans un contexte de chômage élevé et de taux d’intérêt proches de zéro, une telle approche permettrait de créer des emplois sans risque d’inflation et sans constituer un fardeau pour les contribuables futurs. Cela</w:t>
      </w:r>
      <w:r>
        <w:rPr>
          <w:rFonts w:ascii="Liberation Serif" w:eastAsia="Calibri" w:hAnsi="Liberation Serif" w:cs="Calibri"/>
          <w:sz w:val="24"/>
        </w:rPr>
        <w:t xml:space="preserve"> dit, le gouvernement risque de refuser une telle solution, car il </w:t>
      </w:r>
      <w:r>
        <w:rPr>
          <w:rFonts w:ascii="Liberation Serif" w:eastAsia="Calibri" w:hAnsi="Liberation Serif" w:cs="Calibri"/>
          <w:sz w:val="24"/>
        </w:rPr>
        <w:lastRenderedPageBreak/>
        <w:t>l’interprétera</w:t>
      </w:r>
      <w:r w:rsidR="00F9717D">
        <w:rPr>
          <w:rFonts w:ascii="Liberation Serif" w:eastAsia="Calibri" w:hAnsi="Liberation Serif" w:cs="Calibri"/>
          <w:sz w:val="24"/>
        </w:rPr>
        <w:t>it</w:t>
      </w:r>
      <w:r>
        <w:rPr>
          <w:rFonts w:ascii="Liberation Serif" w:eastAsia="Calibri" w:hAnsi="Liberation Serif" w:cs="Calibri"/>
          <w:sz w:val="24"/>
        </w:rPr>
        <w:t xml:space="preserve"> probablement comme une atteinte à la règle d’or budgétaire européenne (règle par ailleurs controversée). Il ne faut pas s’en inquiéter, car d’autres sources de financement so</w:t>
      </w:r>
      <w:r>
        <w:rPr>
          <w:rFonts w:ascii="Liberation Serif" w:eastAsia="Calibri" w:hAnsi="Liberation Serif" w:cs="Calibri"/>
          <w:sz w:val="24"/>
        </w:rPr>
        <w:t xml:space="preserve">nt possibles, telle qu’une mise à contribution des 10 % des ménages les plus aisés. </w: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Pour conclure, nous souhaitons souligner la nécessité d’une vision globale pour répondre à un défi qui concerne l’ensemble de l’humanité. Si les pays occidentaux sont devenus si riches, c’est notamment grâce à l’utilisation d’énergie fossile, qui a déjà ré</w:t>
      </w:r>
      <w:r>
        <w:rPr>
          <w:rFonts w:ascii="Liberation Serif" w:eastAsia="Calibri" w:hAnsi="Liberation Serif" w:cs="Calibri"/>
          <w:sz w:val="24"/>
        </w:rPr>
        <w:t xml:space="preserve">chauffé la planète de plus d’un degré. Ce faisant, les pays riches ont développé des infrastructures modernes auxquelles aspirent désormais le reste du monde. Selon nous, </w:t>
      </w:r>
      <w:bookmarkStart w:id="0" w:name="_GoBack"/>
      <w:bookmarkEnd w:id="0"/>
      <w:r w:rsidR="00F9717D">
        <w:rPr>
          <w:rFonts w:ascii="Liberation Serif" w:eastAsia="Calibri" w:hAnsi="Liberation Serif" w:cs="Calibri"/>
          <w:sz w:val="24"/>
        </w:rPr>
        <w:t xml:space="preserve">les </w:t>
      </w:r>
      <w:r>
        <w:rPr>
          <w:rFonts w:ascii="Liberation Serif" w:eastAsia="Calibri" w:hAnsi="Liberation Serif" w:cs="Calibri"/>
          <w:sz w:val="24"/>
        </w:rPr>
        <w:t>pays riches</w:t>
      </w:r>
      <w:r>
        <w:rPr>
          <w:rFonts w:ascii="Liberation Serif" w:eastAsia="Calibri" w:hAnsi="Liberation Serif" w:cs="Calibri"/>
          <w:sz w:val="24"/>
        </w:rPr>
        <w:t xml:space="preserve"> ont une responsabilité vis-</w:t>
      </w:r>
      <w:r w:rsidR="00F9717D">
        <w:rPr>
          <w:rFonts w:ascii="Liberation Serif" w:eastAsia="Calibri" w:hAnsi="Liberation Serif" w:cs="Calibri"/>
          <w:sz w:val="24"/>
        </w:rPr>
        <w:t>à</w:t>
      </w:r>
      <w:r>
        <w:rPr>
          <w:rFonts w:ascii="Liberation Serif" w:eastAsia="Calibri" w:hAnsi="Liberation Serif" w:cs="Calibri"/>
          <w:sz w:val="24"/>
        </w:rPr>
        <w:t>-vis du reste de l’humanité, qui va subir</w:t>
      </w:r>
      <w:r>
        <w:rPr>
          <w:rFonts w:ascii="Liberation Serif" w:eastAsia="Calibri" w:hAnsi="Liberation Serif" w:cs="Calibri"/>
          <w:sz w:val="24"/>
        </w:rPr>
        <w:t xml:space="preserve"> les conséquences climatiques de leur mode de vie privilégié. Aussi, il semble de notre devoir de financer le surcoût que représentent pour les pays à bas revenus les infrastructures non polluantes. Le </w:t>
      </w:r>
      <w:hyperlink r:id="rId20">
        <w:r>
          <w:rPr>
            <w:rStyle w:val="InternetLink"/>
            <w:rFonts w:ascii="Liberation Serif" w:hAnsi="Liberation Serif"/>
            <w:sz w:val="24"/>
          </w:rPr>
          <w:t>Fonds vert pour le climat</w:t>
        </w:r>
      </w:hyperlink>
      <w:r>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Nous proposons que</w:t>
      </w:r>
      <w:r>
        <w:rPr>
          <w:rFonts w:ascii="Liberation Serif" w:eastAsia="Calibri" w:hAnsi="Liberation Serif" w:cs="Calibri"/>
          <w:sz w:val="24"/>
        </w:rPr>
        <w:t xml:space="preserve"> la France porte sa contribution à 8 milliards de dollars par an, afin qu’une transition écologique s’amorce partout dans le monde.</w:t>
      </w:r>
    </w:p>
    <w:sectPr w:rsidR="0053688A">
      <w:pgSz w:w="12240" w:h="15840"/>
      <w:pgMar w:top="1440" w:right="1800" w:bottom="1440" w:left="1800" w:header="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8FA" w:rsidRDefault="00EA28FA">
      <w:r>
        <w:separator/>
      </w:r>
    </w:p>
  </w:endnote>
  <w:endnote w:type="continuationSeparator" w:id="0">
    <w:p w:rsidR="00EA28FA" w:rsidRDefault="00EA2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8FA" w:rsidRDefault="00EA28FA">
      <w:r>
        <w:separator/>
      </w:r>
    </w:p>
  </w:footnote>
  <w:footnote w:type="continuationSeparator" w:id="0">
    <w:p w:rsidR="00EA28FA" w:rsidRDefault="00EA28FA">
      <w:r>
        <w:continuationSeparator/>
      </w:r>
    </w:p>
  </w:footnote>
  <w:footnote w:id="1">
    <w:p w:rsidR="0053688A" w:rsidRDefault="00EA28FA">
      <w:pPr>
        <w:pStyle w:val="FootnoteText"/>
        <w:rPr>
          <w:rFonts w:ascii="Liberation Serif" w:hAnsi="Liberation Serif"/>
        </w:rPr>
      </w:pPr>
      <w:r>
        <w:rPr>
          <w:rStyle w:val="FootnoteCharacters"/>
        </w:rPr>
        <w:footnoteRef/>
      </w:r>
      <w:r>
        <w:rPr>
          <w:rFonts w:ascii="Liberation Serif" w:hAnsi="Liberation Serif"/>
        </w:rPr>
        <w:tab/>
        <w:t xml:space="preserve">cf. la note </w:t>
      </w:r>
      <w:proofErr w:type="spellStart"/>
      <w:r>
        <w:rPr>
          <w:rFonts w:ascii="Liberation Serif" w:hAnsi="Liberation Serif"/>
        </w:rPr>
        <w:t>Cepremap</w:t>
      </w:r>
      <w:proofErr w:type="spellEnd"/>
      <w:r>
        <w:rPr>
          <w:rFonts w:ascii="Liberation Serif" w:hAnsi="Liberation Serif"/>
        </w:rPr>
        <w:t>. TODO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53688A"/>
    <w:rsid w:val="00083213"/>
    <w:rsid w:val="0053688A"/>
    <w:rsid w:val="00EA28FA"/>
    <w:rsid w:val="00F9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conventioncitoyennepourleclimat.fr/wp-content/uploads/2019/09/lettre-de-mission.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nventioncitoyennepourleclimat.fr/" TargetMode="External"/><Relationship Id="rId12" Type="http://schemas.openxmlformats.org/officeDocument/2006/relationships/hyperlink" Target="http://www.cae-eco.fr/IMG/pdf/cae-note050v2.pdf" TargetMode="External"/><Relationship Id="rId17" Type="http://schemas.openxmlformats.org/officeDocument/2006/relationships/hyperlink" Target="https://www.lemonde.fr/politique/article/2019/05/19/150-francais-tires-au-sort-six-mois-de-debat-la-taxe-carbone-sur-la-table-la-convention-citoyenne-se-precise_5464124_823448.html" TargetMode="External"/><Relationship Id="rId2" Type="http://schemas.microsoft.com/office/2007/relationships/stylesWithEffects" Target="stylesWithEffects.xml"/><Relationship Id="rId16" Type="http://schemas.openxmlformats.org/officeDocument/2006/relationships/hyperlink" Target="https://negawatt.org/IMG/pdf/synthese_scenario-negawatt_2017-2050.pdf" TargetMode="External"/><Relationship Id="rId20" Type="http://schemas.openxmlformats.org/officeDocument/2006/relationships/hyperlink" Target="https://www.greenclimate.fund/how-we-work/resource-mobilization"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clcouncil.org/media/EconomistsStatement.pdf" TargetMode="External"/><Relationship Id="rId5" Type="http://schemas.openxmlformats.org/officeDocument/2006/relationships/footnotes" Target="footnotes.xml"/><Relationship Id="rId15" Type="http://schemas.openxmlformats.org/officeDocument/2006/relationships/hyperlink" Target="https://www.parisschoolofeconomics.eu/fr/economie-pour-tous/grand-public/5-articles-en-5-minutes/octobre-2019/des-politiques-spatiales-pour-repondre-a-l-urgence-climatique-forme-taille-des-villes-et-empreinte-carbone-des-menages-motorises-en-france?fbclid=IwAR2mOsTQiTEd-zvLbpJDs4Nv2FwxY7zpXE3bfDf0Gsu4dNYgIdZ6jHGrVgA" TargetMode="External"/><Relationship Id="rId10" Type="http://schemas.openxmlformats.org/officeDocument/2006/relationships/hyperlink" Target="http://www.cae-eco.fr/IMG/pdf/cae-note050v2.pdf" TargetMode="External"/><Relationship Id="rId19" Type="http://schemas.openxmlformats.org/officeDocument/2006/relationships/hyperlink" Target="https://www.pacte-climat.eu/fr/un-projet-de-trait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negawatt.org/telechargement/Docs/Sidler%20Renovation%20final%201107.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25</cp:revision>
  <dcterms:created xsi:type="dcterms:W3CDTF">2019-10-24T17:39:00Z</dcterms:created>
  <dcterms:modified xsi:type="dcterms:W3CDTF">2019-10-24T17:53:00Z</dcterms:modified>
  <dc:language>fr-FR</dc:language>
</cp:coreProperties>
</file>