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01" w:rsidRDefault="00850B7D">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Français sur les politiques climatiques</w:t>
      </w:r>
    </w:p>
    <w:p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AD2D01" w:rsidRDefault="00850B7D">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w:t>
      </w:r>
      <w:r w:rsidR="00374F71">
        <w:rPr>
          <w:rFonts w:ascii="Tahoma" w:eastAsia="Tahoma" w:hAnsi="Tahoma" w:cs="Tahoma"/>
        </w:rPr>
        <w:t>redistribuées</w:t>
      </w:r>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rsidR="00AD2D01" w:rsidRDefault="00850B7D">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rsidR="00AD2D01" w:rsidRDefault="00850B7D">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 mais ce léger effet nous permet malgré tout de déduire que le rejet de la taxe est presque entièrement dû aux perceptions inexactes quant à ses effets. </w:t>
      </w:r>
    </w:p>
    <w:p w:rsidR="00AD2D01" w:rsidRDefault="00850B7D">
      <w:pPr>
        <w:spacing w:before="240" w:after="240" w:line="240" w:lineRule="auto"/>
        <w:ind w:left="360"/>
        <w:jc w:val="both"/>
      </w:pPr>
      <w:r>
        <w:rPr>
          <w:rFonts w:ascii="Tahoma" w:eastAsia="Tahoma" w:hAnsi="Tahoma" w:cs="Tahoma"/>
        </w:rPr>
        <w:lastRenderedPageBreak/>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du changement climatique, et prêts à changer de mode de vie si ça participe d’un effort collectif. Une majorité soutient plusieurs politiques climatiques, par exemple en faveur de l’isolation des bâtiments. </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AD2D01" w:rsidRDefault="00850B7D">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fut acté fin 2018.</w:t>
      </w:r>
    </w:p>
    <w:p w:rsidR="00AD2D01" w:rsidRDefault="00850B7D">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w:t>
      </w:r>
      <w:r>
        <w:rPr>
          <w:rFonts w:ascii="Tahoma" w:eastAsia="Tahoma" w:hAnsi="Tahoma" w:cs="Tahoma"/>
        </w:rPr>
        <w:lastRenderedPageBreak/>
        <w:t>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AD2D01" w:rsidRDefault="00850B7D">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 b)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politique et relativement aux Gilets jaunes.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AD2D01" w:rsidRDefault="00850B7D">
      <w:pPr>
        <w:spacing w:before="240" w:after="240" w:line="240" w:lineRule="auto"/>
        <w:jc w:val="both"/>
      </w:pPr>
      <w:r>
        <w:rPr>
          <w:rFonts w:ascii="Tahoma" w:eastAsia="Tahoma" w:hAnsi="Tahoma" w:cs="Tahoma"/>
        </w:rPr>
        <w:t xml:space="preserve">Les Français partagent largement la connaissance du caractère anthropique du changement climatique (72%), et la part qui ne croit pas à son existence est marginale (4%), comme le montre la Figure 1. En même temps, leurs connaissances de la science climatique </w:t>
      </w:r>
      <w:r w:rsidR="00374F71">
        <w:rPr>
          <w:rFonts w:ascii="Tahoma" w:eastAsia="Tahoma" w:hAnsi="Tahoma" w:cs="Tahoma"/>
        </w:rPr>
        <w:lastRenderedPageBreak/>
        <w:t>sont</w:t>
      </w:r>
      <w:r>
        <w:rPr>
          <w:rFonts w:ascii="Tahoma" w:eastAsia="Tahoma" w:hAnsi="Tahoma" w:cs="Tahoma"/>
        </w:rPr>
        <w:t xml:space="preserve"> </w:t>
      </w:r>
      <w:r w:rsidR="00374F71">
        <w:rPr>
          <w:rFonts w:ascii="Tahoma" w:eastAsia="Tahoma" w:hAnsi="Tahoma" w:cs="Tahoma"/>
        </w:rPr>
        <w:t>limitées</w:t>
      </w:r>
      <w:r>
        <w:rPr>
          <w:rFonts w:ascii="Tahoma" w:eastAsia="Tahoma" w:hAnsi="Tahoma" w:cs="Tahoma"/>
        </w:rPr>
        <w:t>. Même si 77% cochent correctement « CO</w:t>
      </w:r>
      <w:r>
        <w:rPr>
          <w:rFonts w:ascii="Tahoma" w:eastAsia="Tahoma" w:hAnsi="Tahoma" w:cs="Tahoma"/>
          <w:vertAlign w:val="subscript"/>
        </w:rPr>
        <w:t>2</w:t>
      </w:r>
      <w:r>
        <w:rPr>
          <w:rFonts w:ascii="Tahoma" w:eastAsia="Tahoma" w:hAnsi="Tahoma" w:cs="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rsidR="00AD2D01" w:rsidRDefault="00850B7D">
      <w:pPr>
        <w:spacing w:before="240" w:after="240" w:line="240" w:lineRule="auto"/>
        <w:jc w:val="both"/>
      </w:pPr>
      <w:r>
        <w:rPr>
          <w:noProof/>
          <w:lang w:val="en-US" w:eastAsia="en-US" w:bidi="ar-SA"/>
        </w:rPr>
        <mc:AlternateContent>
          <mc:Choice Requires="wps">
            <w:drawing>
              <wp:inline distT="0" distB="0" distL="0" distR="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w:pict>
              <v:rect id="shape_0" stroked="f" style="position:absolute;margin-left:0pt;margin-top:-54.2pt;width:231.65pt;height:54.1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auto"/>
                          <w:sz w:val="16"/>
                          <w:szCs w:val="16"/>
                        </w:rPr>
                        <w:t>: Cause du changement climatique.</w:t>
                      </w:r>
                    </w:p>
                  </w:txbxContent>
                </v:textbox>
              </v:rect>
            </w:pict>
          </mc:Fallback>
        </mc:AlternateContent>
      </w:r>
    </w:p>
    <w:p w:rsidR="00AD2D01" w:rsidRDefault="00850B7D">
      <w:pPr>
        <w:spacing w:before="240" w:after="240" w:line="240" w:lineRule="auto"/>
        <w:ind w:right="7"/>
        <w:jc w:val="both"/>
      </w:pPr>
      <w:r>
        <w:rPr>
          <w:noProof/>
          <w:lang w:val="en-US" w:eastAsia="en-US" w:bidi="ar-SA"/>
        </w:rPr>
        <mc:AlternateContent>
          <mc:Choice Requires="wps">
            <w:drawing>
              <wp:inline distT="0" distB="0" distL="0" distR="0">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w:pict>
              <v:rect id="shape_0" stroked="f" style="position:absolute;margin-left:0pt;margin-top:-48.5pt;width:231.4pt;height:48.4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36576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auto"/>
                          <w:sz w:val="16"/>
                          <w:szCs w:val="16"/>
                        </w:rPr>
                        <w:t>: Émissions compatible avec +2°C (tCO2eq/an p.c.).</w:t>
                      </w:r>
                    </w:p>
                  </w:txbxContent>
                </v:textbox>
              </v:rect>
            </w:pict>
          </mc:Fallback>
        </mc:AlternateContent>
      </w:r>
      <w:r>
        <w:rPr>
          <w:noProof/>
          <w:lang w:val="en-US" w:eastAsia="en-US" w:bidi="ar-SA"/>
        </w:rPr>
        <mc:AlternateContent>
          <mc:Choice Requires="wps">
            <w:drawing>
              <wp:inline distT="0" distB="0" distL="0" distR="0">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w:pict>
              <v:rect id="shape_0" stroked="f" style="position:absolute;margin-left:0pt;margin-top:-54.7pt;width:231.4pt;height:54.6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auto"/>
                          <w:sz w:val="16"/>
                          <w:szCs w:val="16"/>
                        </w:rPr>
                        <w:t>: Effets du changement climatique.</w:t>
                      </w:r>
                    </w:p>
                  </w:txbxContent>
                </v:textbox>
              </v:rect>
            </w:pict>
          </mc:Fallback>
        </mc:AlternateContent>
      </w:r>
    </w:p>
    <w:p w:rsidR="00AD2D01" w:rsidRDefault="00850B7D">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impacts comme «</w:t>
      </w:r>
      <w:bookmarkStart w:id="0" w:name="__DdeLink__298_3605133747"/>
      <w:bookmarkEnd w:id="0"/>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w:t>
      </w:r>
      <w:commentRangeStart w:id="1"/>
      <w:commentRangeStart w:id="2"/>
      <w:commentRangeStart w:id="3"/>
      <w:r>
        <w:rPr>
          <w:rFonts w:ascii="Tahoma" w:eastAsia="Tahoma" w:hAnsi="Tahoma" w:cs="Tahoma"/>
        </w:rPr>
        <w:t xml:space="preserve"> </w:t>
      </w:r>
      <w:commentRangeEnd w:id="1"/>
      <w:r>
        <w:commentReference w:id="1"/>
      </w:r>
      <w:commentRangeEnd w:id="2"/>
      <w:r>
        <w:commentReference w:id="2"/>
      </w:r>
      <w:commentRangeEnd w:id="3"/>
      <w:r>
        <w:commentReference w:id="3"/>
      </w:r>
      <w:r>
        <w:rPr>
          <w:rFonts w:ascii="Tahoma" w:eastAsia="Tahoma" w:hAnsi="Tahoma" w:cs="Tahoma"/>
        </w:rPr>
        <w:t>changement climatique : 63% affirment ainsi que c’est « chacun d’entre nous » (Figure 4).</w:t>
      </w:r>
    </w:p>
    <w:p w:rsidR="00AD2D01" w:rsidRDefault="00AD2D01">
      <w:pPr>
        <w:spacing w:before="240" w:after="240" w:line="240" w:lineRule="auto"/>
        <w:jc w:val="both"/>
      </w:pPr>
    </w:p>
    <w:p w:rsidR="00AD2D01" w:rsidRDefault="00AD2D01">
      <w:pPr>
        <w:pStyle w:val="LO-normal"/>
        <w:sectPr w:rsidR="00AD2D01">
          <w:headerReference w:type="default" r:id="rId15"/>
          <w:pgSz w:w="11906" w:h="16838"/>
          <w:pgMar w:top="1440" w:right="1132" w:bottom="1440" w:left="1133" w:header="720" w:footer="0" w:gutter="0"/>
          <w:cols w:num="2" w:space="298"/>
          <w:formProt w:val="0"/>
          <w:docGrid w:linePitch="312" w:charSpace="-2049"/>
        </w:sectPr>
      </w:pPr>
    </w:p>
    <w:p w:rsidR="00AD2D01" w:rsidRDefault="00850B7D">
      <w:pPr>
        <w:spacing w:before="240" w:after="240" w:line="240" w:lineRule="auto"/>
        <w:jc w:val="both"/>
      </w:pPr>
      <w:r>
        <w:rPr>
          <w:noProof/>
          <w:lang w:val="en-US" w:eastAsia="en-US" w:bidi="ar-SA"/>
        </w:rPr>
        <w:lastRenderedPageBreak/>
        <mc:AlternateContent>
          <mc:Choice Requires="wps">
            <w:drawing>
              <wp:inline distT="0" distB="0" distL="0" distR="0">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wps:txbx>
                      <wps:bodyPr lIns="0" tIns="0" rIns="0" bIns="0">
                        <a:noAutofit/>
                      </wps:bodyPr>
                    </wps:wsp>
                  </a:graphicData>
                </a:graphic>
              </wp:inline>
            </w:drawing>
          </mc:Choice>
          <mc:Fallback>
            <w:pict>
              <v:rect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rsidR="00AD2D01" w:rsidRDefault="00850B7D">
                      <w:pPr>
                        <w:pStyle w:val="Figure"/>
                      </w:pPr>
                      <w:r>
                        <w:rPr>
                          <w:noProof/>
                          <w:lang w:val="en-US" w:eastAsia="en-US" w:bidi="ar-SA"/>
                        </w:rPr>
                        <w:drawing>
                          <wp:inline distT="0" distB="0" distL="0" distR="0">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7"/>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xml:space="preserve">SEQ Figure \* </w:instrText>
                      </w:r>
                      <w:r>
                        <w:rPr>
                          <w:sz w:val="16"/>
                          <w:szCs w:val="16"/>
                        </w:rPr>
                        <w:instrText>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v:textbox>
                <w10:anchorlock/>
              </v:rect>
            </w:pict>
          </mc:Fallback>
        </mc:AlternateContent>
      </w:r>
    </w:p>
    <w:p w:rsidR="00AD2D01" w:rsidRDefault="00AD2D01">
      <w:pPr>
        <w:spacing w:before="240" w:after="240" w:line="240" w:lineRule="auto"/>
        <w:jc w:val="both"/>
      </w:pP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AD2D01" w:rsidRDefault="00850B7D">
      <w:pPr>
        <w:spacing w:before="240" w:after="240" w:line="240" w:lineRule="auto"/>
        <w:jc w:val="both"/>
      </w:pPr>
      <w:r>
        <w:rPr>
          <w:rFonts w:ascii="Tahoma" w:eastAsia="Tahoma" w:hAnsi="Tahoma" w:cs="Tahoma"/>
        </w:rPr>
        <w:t xml:space="preserve">Les Français sont largement conscients et préoccupés par le changement climatique. Pourtant, la tentative du gouvernement d’introduire une taxe carbone pour lutter contre les gaz à effets de serre s’est soldée par un échec. </w:t>
      </w:r>
      <w:r w:rsidR="00374F71">
        <w:rPr>
          <w:rFonts w:ascii="Tahoma" w:eastAsia="Tahoma" w:hAnsi="Tahoma" w:cs="Tahoma"/>
        </w:rPr>
        <w:t xml:space="preserve">Pour comprendre l’opposition des Français à la taxe carbone, nous avons soumis aux répondants une proposition de politique plus équitable : une taxe carbone dont les recettes seraient reversées de manière égale à tous les adultes. </w:t>
      </w:r>
      <w:r>
        <w:rPr>
          <w:rFonts w:ascii="Tahoma" w:eastAsia="Tahoma" w:hAnsi="Tahoma" w:cs="Tahoma"/>
        </w:rPr>
        <w:t>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rsidR="00AD2D01" w:rsidRDefault="00850B7D">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xml:space="preserve">. Pour plus de transparence, nous détaillons aux répondants les hausses de prix impliqués par cette taxe : +13% sur le gaz, +15% sur le fioul domestique, +0,11€/L sur l’essence et +0,13€/L sur le diesel. Grâce aux calculs </w:t>
      </w:r>
      <w:r w:rsidR="00374F71">
        <w:rPr>
          <w:rFonts w:ascii="Tahoma" w:eastAsia="Tahoma" w:hAnsi="Tahoma" w:cs="Tahoma"/>
        </w:rPr>
        <w:t>effectués</w:t>
      </w:r>
      <w:r>
        <w:rPr>
          <w:rFonts w:ascii="Tahoma" w:eastAsia="Tahoma" w:hAnsi="Tahoma" w:cs="Tahoma"/>
        </w:rPr>
        <w:t xml:space="preserve"> pa</w:t>
      </w:r>
      <w:r w:rsidR="00245BC0">
        <w:rPr>
          <w:rFonts w:ascii="Tahoma" w:eastAsia="Tahoma" w:hAnsi="Tahoma" w:cs="Tahoma"/>
        </w:rPr>
        <w:t xml:space="preserve">r micro-simulation à partir des </w:t>
      </w:r>
      <w:r>
        <w:rPr>
          <w:rFonts w:ascii="Tahoma" w:eastAsia="Tahoma" w:hAnsi="Tahoma" w:cs="Tahoma"/>
        </w:rPr>
        <w:lastRenderedPageBreak/>
        <w:t>données de consommation tirées des enquêtes de l’Insee</w:t>
      </w:r>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rsidR="00AD2D01" w:rsidRDefault="00850B7D">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rsidR="00AD2D01" w:rsidRDefault="00850B7D">
      <w:pPr>
        <w:spacing w:before="240" w:after="240" w:line="240" w:lineRule="auto"/>
        <w:jc w:val="both"/>
      </w:pPr>
      <w:r>
        <w:rPr>
          <w:rFonts w:ascii="Tahoma" w:eastAsia="Tahoma" w:hAnsi="Tahoma" w:cs="Tahoma"/>
        </w:rPr>
        <w:t>Toutefois, parallèlement au fort rejet observé, notre étud</w:t>
      </w:r>
      <w:bookmarkStart w:id="4" w:name="_GoBack"/>
      <w:bookmarkEnd w:id="4"/>
      <w:r>
        <w:rPr>
          <w:rFonts w:ascii="Tahoma" w:eastAsia="Tahoma" w:hAnsi="Tahoma" w:cs="Tahoma"/>
        </w:rPr>
        <w:t xml:space="preserve">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w:t>
      </w:r>
      <w:r>
        <w:rPr>
          <w:rFonts w:ascii="Tahoma" w:eastAsia="Tahoma" w:hAnsi="Tahoma" w:cs="Tahoma"/>
        </w:rPr>
        <w:lastRenderedPageBreak/>
        <w:t xml:space="preserve">89% d’entre eux anticipent des pertes nettes 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rsidR="00AD2D01" w:rsidRDefault="00850B7D">
      <w:pPr>
        <w:spacing w:before="240" w:after="240" w:line="240" w:lineRule="auto"/>
        <w:jc w:val="both"/>
      </w:pPr>
      <w:r>
        <w:rPr>
          <w:rFonts w:ascii="Tahoma" w:eastAsia="Tahoma" w:hAnsi="Tahoma" w:cs="Tahoma"/>
        </w:rPr>
        <w:t xml:space="preserve">Au-delà des conséquences sur le pouvoir d’achat, nos résultats montrent également que seuls 17% perçoivent la politique comme efficace pour réduire la pollution et lutter contre le changement climatique (66% inefficace, 18% NSP), et que seulement 19% d’entre eux pensent qu’elle avantagerait les plus </w:t>
      </w:r>
      <w:r w:rsidR="00374F71">
        <w:rPr>
          <w:rFonts w:ascii="Tahoma" w:eastAsia="Tahoma" w:hAnsi="Tahoma" w:cs="Tahoma"/>
        </w:rPr>
        <w:t>modestes</w:t>
      </w:r>
      <w:r>
        <w:rPr>
          <w:rFonts w:ascii="Tahoma" w:eastAsia="Tahoma" w:hAnsi="Tahoma" w:cs="Tahoma"/>
        </w:rPr>
        <w:t xml:space="preserve"> (60% la pensent régressive, 21% NSP). L’impopularité de la réforme pourrait ainsi s’expliquer par des croyances erronées quant à ses effets.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AD2D01" w:rsidRDefault="00850B7D">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rsidR="00AD2D01" w:rsidRDefault="00850B7D">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rsidR="00AD2D01" w:rsidRDefault="00850B7D">
      <w:pPr>
        <w:spacing w:before="240" w:after="240" w:line="240" w:lineRule="auto"/>
        <w:jc w:val="both"/>
      </w:pPr>
      <w:r>
        <w:rPr>
          <w:rFonts w:ascii="Tahoma" w:eastAsia="Tahoma" w:hAnsi="Tahoma" w:cs="Tahoma"/>
        </w:rPr>
        <w:t xml:space="preserve">Le premier constat est que l’information est prise en compte de façon très asymétrique. Les </w:t>
      </w:r>
      <w:r>
        <w:rPr>
          <w:rFonts w:ascii="Tahoma" w:eastAsia="Tahoma" w:hAnsi="Tahoma" w:cs="Tahoma"/>
        </w:rPr>
        <w:lastRenderedPageBreak/>
        <w:t>répondants pensant initialement être gagnant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rsidR="00AD2D01" w:rsidRDefault="00850B7D">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w:t>
      </w:r>
      <w:r>
        <w:rPr>
          <w:rFonts w:ascii="Tahoma" w:eastAsia="Tahoma" w:hAnsi="Tahoma" w:cs="Tahoma"/>
        </w:rPr>
        <w:lastRenderedPageBreak/>
        <w:t xml:space="preserve">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reçue</w:t>
      </w:r>
      <w:r>
        <w:rPr>
          <w:rFonts w:ascii="Calibri" w:eastAsia="Calibri" w:hAnsi="Calibri" w:cs="Calibri"/>
          <w:color w:val="00000A"/>
        </w:rPr>
        <w:t>[6]</w:t>
      </w:r>
      <w:r>
        <w:rPr>
          <w:rFonts w:ascii="Tahoma" w:eastAsia="Tahoma" w:hAnsi="Tahoma" w:cs="Tahoma"/>
        </w:rPr>
        <w:t>.</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rsidR="00AD2D01" w:rsidRDefault="00850B7D">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rsidR="00AD2D01" w:rsidRDefault="00AD2D01">
      <w:pPr>
        <w:spacing w:before="240" w:after="240" w:line="240" w:lineRule="auto"/>
        <w:jc w:val="both"/>
        <w:rPr>
          <w:rFonts w:ascii="Tahoma" w:eastAsia="Tahoma" w:hAnsi="Tahoma" w:cs="Tahoma"/>
        </w:rPr>
      </w:pPr>
    </w:p>
    <w:p w:rsidR="00AD2D01" w:rsidRDefault="00850B7D">
      <w:pPr>
        <w:spacing w:before="240" w:after="240" w:line="240" w:lineRule="auto"/>
        <w:jc w:val="both"/>
      </w:pPr>
      <w:r>
        <w:rPr>
          <w:rFonts w:ascii="Tahoma" w:eastAsia="Tahoma" w:hAnsi="Tahoma" w:cs="Tahoma"/>
          <w:b/>
          <w:color w:val="0070C0"/>
        </w:rPr>
        <w:t>Aux origines de la méfiance : des problèmes structurels</w:t>
      </w:r>
    </w:p>
    <w:p w:rsidR="00AD2D01" w:rsidRDefault="00850B7D">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rsidR="00AD2D01" w:rsidRDefault="00850B7D">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w:t>
      </w:r>
      <w:r>
        <w:rPr>
          <w:rFonts w:ascii="Tahoma" w:eastAsia="Tahoma" w:hAnsi="Tahoma" w:cs="Tahoma"/>
        </w:rPr>
        <w:lastRenderedPageBreak/>
        <w:t xml:space="preserve">ceux de la classe moyenne. En réalité, les ménages modestes et de la classe moyenne seraient pour la plupart gagnants grâce au 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w:t>
      </w:r>
      <w:commentRangeStart w:id="5"/>
      <w:commentRangeStart w:id="6"/>
      <w:r>
        <w:rPr>
          <w:rFonts w:ascii="Tahoma" w:eastAsia="Tahoma" w:hAnsi="Tahoma" w:cs="Tahoma"/>
        </w:rPr>
        <w:t xml:space="preserve">peuvent s’attendre à subir des pertes </w:t>
      </w:r>
      <w:commentRangeEnd w:id="5"/>
      <w:r>
        <w:commentReference w:id="5"/>
      </w:r>
      <w:commentRangeEnd w:id="6"/>
      <w:r>
        <w:commentReference w:id="6"/>
      </w:r>
      <w:r>
        <w:rPr>
          <w:rFonts w:ascii="Tahoma" w:eastAsia="Tahoma" w:hAnsi="Tahoma" w:cs="Tahoma"/>
        </w:rPr>
        <w:t>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rsidR="00245BC0" w:rsidRDefault="00850B7D" w:rsidP="00245BC0">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1E8C78D4" wp14:editId="0E0431FD">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14:anchorId="6850AD56" wp14:editId="7A16B180">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w:pict>
              <v:rect id="shape_0" stroked="f" style="position:absolute;margin-left:0pt;margin-top:-139.9pt;width:217.1pt;height:135.8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19"/>
                                    <a:stretch>
                                      <a:fillRect/>
                                    </a:stretch>
                                  </pic:blipFill>
                                  <pic:spPr bwMode="auto">
                                    <a:xfrm>
                                      <a:off x="0" y="0"/>
                                      <a:ext cx="2757805" cy="148272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auto"/>
                          <w:sz w:val="16"/>
                          <w:szCs w:val="16"/>
                        </w:rPr>
                        <w:t>: Pour quelles raisons cette mesure est bénéfique ?</w:t>
                      </w:r>
                    </w:p>
                  </w:txbxContent>
                </v:textbox>
              </v:rect>
            </w:pict>
          </mc:Fallback>
        </mc:AlternateContent>
      </w:r>
      <w:r>
        <w:rPr>
          <w:noProof/>
          <w:lang w:val="en-US" w:eastAsia="en-US" w:bidi="ar-SA"/>
        </w:rPr>
        <mc:AlternateContent>
          <mc:Choice Requires="wps">
            <w:drawing>
              <wp:inline distT="0" distB="0" distL="0" distR="0" wp14:anchorId="51FE69A3" wp14:editId="28276AEF">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14:anchorId="44483C39" wp14:editId="223B31E6">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w:pict>
              <v:rect id="shape_0" stroked="f" style="position:absolute;margin-left:0pt;margin-top:-135.75pt;width:217pt;height:135.65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21"/>
                                    <a:stretch>
                                      <a:fillRect/>
                                    </a:stretch>
                                  </pic:blipFill>
                                  <pic:spPr bwMode="auto">
                                    <a:xfrm>
                                      <a:off x="0" y="0"/>
                                      <a:ext cx="2756535" cy="148082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auto"/>
                          <w:sz w:val="16"/>
                          <w:szCs w:val="16"/>
                        </w:rPr>
                        <w:t>: Pour quelles raisons cette mesure est indésirable ?</w:t>
                      </w:r>
                    </w:p>
                  </w:txbxContent>
                </v:textbox>
              </v:rect>
            </w:pict>
          </mc:Fallback>
        </mc:AlternateContent>
      </w:r>
      <w:r w:rsidR="00245BC0" w:rsidRPr="00245BC0">
        <w:rPr>
          <w:rFonts w:ascii="Tahoma" w:eastAsia="Tahoma" w:hAnsi="Tahoma" w:cs="Tahoma"/>
        </w:rPr>
        <w:t xml:space="preserve"> </w:t>
      </w:r>
    </w:p>
    <w:p w:rsidR="00245BC0" w:rsidRDefault="00245BC0" w:rsidP="00245BC0">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pourrait utiliser un de ces modes de </w:t>
      </w:r>
      <w:r>
        <w:rPr>
          <w:rFonts w:ascii="Tahoma" w:eastAsia="Tahoma" w:hAnsi="Tahoma" w:cs="Tahoma"/>
        </w:rPr>
        <w:lastRenderedPageBreak/>
        <w:t xml:space="preserve">transport alternatif « sans grande difficulté ». Le caractère incontournable de la voiture individuelle semble être une limite majeure aux mesures purement incitatives, même si le fait que </w:t>
      </w:r>
      <w:hyperlink r:id="rId22">
        <w:r>
          <w:rPr>
            <w:rStyle w:val="ListLabel1"/>
          </w:rPr>
          <w:t>62% des trajets</w:t>
        </w:r>
      </w:hyperlink>
      <w:r>
        <w:rPr>
          <w:rFonts w:ascii="Tahoma" w:eastAsia="Tahoma" w:hAnsi="Tahoma" w:cs="Tahoma"/>
        </w:rPr>
        <w:t xml:space="preserve"> de 1 ou 2 km soient effectués en voiture laisse penser que les habitudes peuvent encore être bousculées. En tous cas, dans cette situation, « investissements publics verts et taxe carbone apparaissent bien complémentaires, et dans le timing de la politique climatique il serait justifié de réaliser les premiers avant de mettre en place la seconde » (Bureau et al, 2019).</w:t>
      </w:r>
    </w:p>
    <w:p w:rsidR="00AD2D01" w:rsidRDefault="00850B7D">
      <w:pPr>
        <w:spacing w:before="240" w:after="240" w:line="240" w:lineRule="auto"/>
        <w:jc w:val="both"/>
      </w:pPr>
      <w:r>
        <w:rPr>
          <w:noProof/>
          <w:lang w:val="en-US" w:eastAsia="en-US" w:bidi="ar-SA"/>
        </w:rPr>
        <mc:AlternateContent>
          <mc:Choice Requires="wps">
            <w:drawing>
              <wp:anchor distT="0" distB="0" distL="0" distR="0" simplePos="0" relativeHeight="18" behindDoc="0" locked="0" layoutInCell="1" allowOverlap="1">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rsidR="00AD2D01" w:rsidRDefault="00850B7D">
                            <w:pPr>
                              <w:pStyle w:val="Figure"/>
                            </w:pPr>
                            <w:r>
                              <w:rPr>
                                <w:vanish/>
                              </w:rPr>
                              <w:br/>
                            </w:r>
                          </w:p>
                        </w:txbxContent>
                      </wps:txbx>
                      <wps:bodyPr lIns="0" tIns="0" rIns="0" bIns="0" anchor="t">
                        <a:noAutofit/>
                      </wps:bodyPr>
                    </wps:wsp>
                  </a:graphicData>
                </a:graphic>
              </wp:anchor>
            </w:drawing>
          </mc:Choice>
          <mc:Fallback>
            <w:pict>
              <v:rect style="position:absolute;rotation:0;width:218.15pt;height:25.8pt;mso-wrap-distance-left:5.7pt;mso-wrap-distance-right:5.7pt;mso-wrap-distance-top:5.7pt;mso-wrap-distance-bottom:5.7pt;margin-top:280.2pt;mso-position-vertical-relative:text;margin-left:0pt;mso-position-horizontal-relative:text">
                <v:textbox inset="0in,0in,0in,0in">
                  <w:txbxContent>
                    <w:p>
                      <w:pPr>
                        <w:pStyle w:val="Figure"/>
                        <w:spacing w:before="120" w:after="120"/>
                        <w:rPr>
                          <w:color w:val="auto"/>
                        </w:rPr>
                      </w:pPr>
                      <w:r>
                        <w:rPr>
                          <w:vanish/>
                          <w:color w:val="auto"/>
                        </w:rPr>
                        <w:br/>
                      </w:r>
                    </w:p>
                  </w:txbxContent>
                </v:textbox>
              </v:rect>
            </w:pict>
          </mc:Fallback>
        </mc:AlternateContent>
      </w:r>
      <w:r>
        <w:rPr>
          <w:noProof/>
          <w:lang w:val="en-US" w:eastAsia="en-US" w:bidi="ar-SA"/>
        </w:rPr>
        <mc:AlternateContent>
          <mc:Choice Requires="wps">
            <w:drawing>
              <wp:anchor distT="0" distB="0" distL="0" distR="0" simplePos="0" relativeHeight="20" behindDoc="0" locked="0" layoutInCell="1" allowOverlap="1">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rsidR="00AD2D01" w:rsidRDefault="00AD2D01">
                            <w:pPr>
                              <w:pStyle w:val="Figure"/>
                              <w:rPr>
                                <w:sz w:val="16"/>
                                <w:szCs w:val="16"/>
                              </w:rPr>
                            </w:pPr>
                          </w:p>
                        </w:txbxContent>
                      </wps:txbx>
                      <wps:bodyPr lIns="0" tIns="0" rIns="0" bIns="0" anchor="t">
                        <a:noAutofit/>
                      </wps:bodyPr>
                    </wps:wsp>
                  </a:graphicData>
                </a:graphic>
              </wp:anchor>
            </w:drawing>
          </mc:Choice>
          <mc:Fallback>
            <w:pict>
              <v:rect style="position:absolute;rotation:0;width:223pt;height:30.55pt;mso-wrap-distance-left:5.7pt;mso-wrap-distance-right:5.7pt;mso-wrap-distance-top:5.7pt;mso-wrap-distance-bottom:5.7pt;margin-top:12pt;mso-position-vertical-relative:text;margin-left:-0.05pt;mso-position-horizontal-relative:text">
                <v:textbox inset="0in,0in,0in,0in">
                  <w:txbxContent>
                    <w:p>
                      <w:pPr>
                        <w:pStyle w:val="Figure"/>
                        <w:spacing w:before="120" w:after="120"/>
                        <w:rPr>
                          <w:sz w:val="16"/>
                          <w:szCs w:val="16"/>
                        </w:rPr>
                      </w:pPr>
                      <w:r>
                        <w:rPr>
                          <w:color w:val="auto"/>
                        </w:rPr>
                      </w:r>
                    </w:p>
                  </w:txbxContent>
                </v:textbox>
              </v:rect>
            </w:pict>
          </mc:Fallback>
        </mc:AlternateContent>
      </w:r>
      <w:r>
        <w:rPr>
          <w:noProof/>
          <w:lang w:val="en-US" w:eastAsia="en-US" w:bidi="ar-SA"/>
        </w:rPr>
        <mc:AlternateContent>
          <mc:Choice Requires="wps">
            <w:drawing>
              <wp:inline distT="0" distB="0" distL="0" distR="0">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rsidR="00AD2D01" w:rsidRDefault="00850B7D">
                            <w:pPr>
                              <w:pStyle w:val="Figure"/>
                            </w:pPr>
                            <w:r>
                              <w:rPr>
                                <w:noProof/>
                                <w:lang w:val="en-US" w:eastAsia="en-US" w:bidi="ar-SA"/>
                              </w:rPr>
                              <w:drawing>
                                <wp:inline distT="0" distB="0" distL="0" distR="0">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chor="t">
                        <a:noAutofit/>
                      </wps:bodyPr>
                    </wps:wsp>
                  </a:graphicData>
                </a:graphic>
              </wp:inline>
            </w:drawing>
          </mc:Choice>
          <mc:Fallback>
            <w:pict>
              <v:rect style="position:absolute;rotation:0;width:222.95pt;height:150.1pt;mso-wrap-distance-left:0pt;mso-wrap-distance-right:0pt;mso-wrap-distance-top:0pt;mso-wrap-distance-bottom:0pt;margin-top:-150.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31465" cy="1663700"/>
                            <wp:effectExtent l="0" t="0" r="0" b="0"/>
                            <wp:docPr id="2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png" descr=""/>
                                    <pic:cNvPicPr>
                                      <a:picLocks noChangeAspect="1" noChangeArrowheads="1"/>
                                    </pic:cNvPicPr>
                                  </pic:nvPicPr>
                                  <pic:blipFill>
                                    <a:blip r:embed="rId24"/>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wrap type="square" side="largest"/>
              </v:rect>
            </w:pict>
          </mc:Fallback>
        </mc:AlternateContent>
      </w:r>
      <w:r>
        <w:rPr>
          <w:noProof/>
          <w:lang w:val="en-US" w:eastAsia="en-US" w:bidi="ar-SA"/>
        </w:rPr>
        <mc:AlternateContent>
          <mc:Choice Requires="wps">
            <w:drawing>
              <wp:inline distT="0" distB="0" distL="0" distR="0">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rsidR="00AD2D01" w:rsidRDefault="00850B7D">
                            <w:pPr>
                              <w:pStyle w:val="Figure"/>
                            </w:pPr>
                            <w:r>
                              <w:rPr>
                                <w:noProof/>
                                <w:lang w:val="en-US" w:eastAsia="en-US" w:bidi="ar-SA"/>
                              </w:rPr>
                              <w:drawing>
                                <wp:inline distT="0" distB="0" distL="0" distR="0">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w:pict>
              <v:rect style="position:absolute;rotation:0;width:218.1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69870" cy="1652905"/>
                            <wp:effectExtent l="0" t="0" r="0" b="0"/>
                            <wp:docPr id="3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descr=""/>
                                    <pic:cNvPicPr>
                                      <a:picLocks noChangeAspect="1" noChangeArrowheads="1"/>
                                    </pic:cNvPicPr>
                                  </pic:nvPicPr>
                                  <pic:blipFill>
                                    <a:blip r:embed="rId26"/>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wrap type="square" side="largest"/>
              </v:rect>
            </w:pict>
          </mc:Fallback>
        </mc:AlternateContent>
      </w:r>
    </w:p>
    <w:p w:rsidR="00AD2D01" w:rsidRDefault="00AD2D01">
      <w:pPr>
        <w:spacing w:before="240" w:after="240" w:line="240" w:lineRule="auto"/>
        <w:jc w:val="both"/>
        <w:rPr>
          <w:rFonts w:ascii="Tahoma" w:eastAsia="Tahoma" w:hAnsi="Tahoma" w:cs="Tahoma"/>
        </w:rPr>
      </w:pP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AD2D01" w:rsidRDefault="00850B7D">
      <w:pPr>
        <w:spacing w:before="240" w:after="240" w:line="240" w:lineRule="auto"/>
        <w:jc w:val="both"/>
      </w:pPr>
      <w:r>
        <w:rPr>
          <w:rFonts w:ascii="Tahoma" w:eastAsia="Tahoma" w:hAnsi="Tahoma" w:cs="Tahoma"/>
        </w:rPr>
        <w:t xml:space="preserve">Si on en croit leurs réponses, 65% des Français sont « prêts à adopter un mode de vie écologie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w:t>
      </w:r>
      <w:r>
        <w:rPr>
          <w:rFonts w:ascii="Tahoma" w:eastAsia="Tahoma" w:hAnsi="Tahoma" w:cs="Tahoma"/>
        </w:rPr>
        <w:lastRenderedPageBreak/>
        <w:t>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 des répondants seraient prêts à changer leur mode de vie sous au moins une des trois conditions proposées : des moyens financiers suffisants, des politiques allant dans ce sens, ou une participation de tout le monde (environ 45 % dans chacun des cas). Enfin, une fraction substantielle de la population intègre les contraintes écologiques dans ses choix de vie. En effet, 15 % se disent écologistes (l’identité politique la plus choisie en dehors du spectre gauche-droite), 23 % affirment avoir déjà adopté un mode de vie durable et 20 % disent que le changement climatique « a eu ou aura une influence dans leur décision d’avoir un enfant ».</w:t>
      </w:r>
    </w:p>
    <w:p w:rsidR="00AD2D01" w:rsidRDefault="00850B7D">
      <w:pPr>
        <w:spacing w:before="240" w:after="240" w:line="240" w:lineRule="auto"/>
        <w:jc w:val="both"/>
      </w:pPr>
      <w:r>
        <w:rPr>
          <w:rFonts w:ascii="Tahoma" w:eastAsia="Tahoma" w:hAnsi="Tahoma" w:cs="Tahoma"/>
        </w:rPr>
        <w:t xml:space="preserve">Concernant les mesures soutenues, les Français préfèrent des normes et des régulations plutôt que des taxes (Figure 9). Ainsi, le rattrapage de la fiscalité du diesel sur celle de l’essence est rejeté par 59% des répondants, avec un rejet très marqué des ruraux et des utilisateurs de véhicule diesel.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Ainsi,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ascii="Tahoma" w:eastAsia="Tahoma" w:hAnsi="Tahoma" w:cs="Tahoma"/>
          <w:color w:val="00000A"/>
        </w:rPr>
        <w:t>Ce résultat est cohérent avec d’autres études réalisées dans p</w:t>
      </w:r>
      <w:r w:rsidR="00245BC0">
        <w:rPr>
          <w:rFonts w:ascii="Tahoma" w:eastAsia="Tahoma" w:hAnsi="Tahoma" w:cs="Tahoma"/>
          <w:color w:val="00000A"/>
        </w:rPr>
        <w:t>lusieurs autres pays européens[7</w:t>
      </w:r>
      <w:r>
        <w:rPr>
          <w:rFonts w:ascii="Tahoma" w:eastAsia="Tahoma" w:hAnsi="Tahoma" w:cs="Tahoma"/>
          <w:color w:val="00000A"/>
        </w:rPr>
        <w:t xml:space="preserve">]. Enfin, nous observons une corrélation positive entre les connaissances sur le changement climatique, la préoccupation </w:t>
      </w:r>
      <w:r>
        <w:rPr>
          <w:rFonts w:ascii="Tahoma" w:eastAsia="Tahoma" w:hAnsi="Tahoma" w:cs="Tahoma"/>
          <w:color w:val="00000A"/>
        </w:rPr>
        <w:lastRenderedPageBreak/>
        <w:t>concernant ses effets, et le soutien aux politiques climatiques, suggérant qu’une campagne d’information sur le changement climatique rendrait plus acceptable des mesures écologiques.</w:t>
      </w:r>
    </w:p>
    <w:p w:rsidR="00AD2D01" w:rsidRDefault="00850B7D">
      <w:pPr>
        <w:spacing w:before="240" w:after="240" w:line="240" w:lineRule="auto"/>
        <w:jc w:val="both"/>
      </w:pPr>
      <w:r>
        <w:rPr>
          <w:noProof/>
          <w:lang w:val="en-US" w:eastAsia="en-US" w:bidi="ar-SA"/>
        </w:rPr>
        <mc:AlternateContent>
          <mc:Choice Requires="wps">
            <w:drawing>
              <wp:inline distT="0" distB="0" distL="0" distR="0">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rsidR="00AD2D01" w:rsidRDefault="00850B7D">
                            <w:pPr>
                              <w:pStyle w:val="Figure"/>
                            </w:pPr>
                            <w:r>
                              <w:rPr>
                                <w:noProof/>
                                <w:lang w:val="en-US" w:eastAsia="en-US" w:bidi="ar-SA"/>
                              </w:rPr>
                              <w:drawing>
                                <wp:inline distT="0" distB="0" distL="0" distR="0">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7"/>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3" o:spid="_x0000_s1036"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" filled="f" stroked="f">
                <v:textbox inset="0,0,0,0">
                  <w:txbxContent>
                    <w:p w:rsidR="00AD2D01" w:rsidRDefault="00850B7D">
                      <w:pPr>
                        <w:pStyle w:val="Figure"/>
                      </w:pPr>
                      <w:r>
                        <w:rPr>
                          <w:noProof/>
                          <w:lang w:val="en-US" w:eastAsia="en-US" w:bidi="ar-SA"/>
                        </w:rPr>
                        <w:drawing>
                          <wp:inline distT="0" distB="0" distL="0" distR="0">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xml:space="preserve">SEQ </w:instrText>
                      </w:r>
                      <w:r>
                        <w:rPr>
                          <w:sz w:val="16"/>
                          <w:szCs w:val="16"/>
                        </w:rPr>
                        <w:instrText>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v:textbox>
                <w10:anchorlock/>
              </v:shape>
            </w:pict>
          </mc:Fallback>
        </mc:AlternateContent>
      </w:r>
      <w:r>
        <w:rPr>
          <w:noProof/>
          <w:lang w:val="en-US" w:eastAsia="en-US" w:bidi="ar-SA"/>
        </w:rPr>
        <mc:AlternateContent>
          <mc:Choice Requires="wps">
            <w:drawing>
              <wp:inline distT="0" distB="0" distL="0" distR="0">
                <wp:extent cx="2880360" cy="1896110"/>
                <wp:effectExtent l="0" t="0" r="0" b="0"/>
                <wp:docPr id="39"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rsidR="00AD2D01" w:rsidRDefault="00850B7D">
                            <w:pPr>
                              <w:pStyle w:val="Figure"/>
                            </w:pPr>
                            <w:r>
                              <w:rPr>
                                <w:noProof/>
                                <w:lang w:val="en-US" w:eastAsia="en-US" w:bidi="ar-SA"/>
                              </w:rPr>
                              <w:drawing>
                                <wp:inline distT="0" distB="0" distL="0" distR="0">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9"/>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wps:txbx>
                      <wps:bodyPr lIns="0" tIns="0" rIns="0" bIns="0" anchor="t">
                        <a:noAutofit/>
                      </wps:bodyPr>
                    </wps:wsp>
                  </a:graphicData>
                </a:graphic>
              </wp:inline>
            </w:drawing>
          </mc:Choice>
          <mc:Fallback>
            <w:pict>
              <v:rect style="position:absolute;rotation:0;width:226.8pt;height:149.3pt;mso-wrap-distance-left:0pt;mso-wrap-distance-right:0pt;mso-wrap-distance-top:0pt;mso-wrap-distance-bottom:0pt;margin-top:-149.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80360" cy="1653540"/>
                            <wp:effectExtent l="0" t="0" r="0" b="0"/>
                            <wp:docPr id="4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descr=""/>
                                    <pic:cNvPicPr>
                                      <a:picLocks noChangeAspect="1" noChangeArrowheads="1"/>
                                    </pic:cNvPicPr>
                                  </pic:nvPicPr>
                                  <pic:blipFill>
                                    <a:blip r:embed="rId30"/>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v:textbox>
                <w10:wrap type="square" side="largest"/>
              </v:rect>
            </w:pict>
          </mc:Fallback>
        </mc:AlternateConten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AD2D01" w:rsidRDefault="00850B7D">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w:t>
      </w:r>
      <w:r>
        <w:rPr>
          <w:rFonts w:ascii="Tahoma" w:eastAsia="Tahoma" w:hAnsi="Tahoma" w:cs="Tahoma"/>
        </w:rPr>
        <w:lastRenderedPageBreak/>
        <w:t>l’isolation thermique, etc. Troisièmement, un impôt limité au kérosène dont les recettes seraient reversées à chaque Français pourrait servir d’exemple convaincant en faveur des mesures incitatives, car la taxation du kérosène est largement approuvée.</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rPr>
      </w:pPr>
      <w:r>
        <w:rPr>
          <w:rFonts w:ascii="Tahoma" w:eastAsia="Tahoma" w:hAnsi="Tahoma" w:cs="Tahoma"/>
          <w:b/>
        </w:rPr>
        <w:t>Références</w:t>
      </w:r>
    </w:p>
    <w:p w:rsidR="00AD2D01" w:rsidRDefault="00850B7D">
      <w:pPr>
        <w:spacing w:before="240" w:after="240" w:line="240" w:lineRule="auto"/>
        <w:jc w:val="both"/>
      </w:pPr>
      <w:r>
        <w:rPr>
          <w:rFonts w:ascii="Tahoma" w:eastAsia="Tahoma" w:hAnsi="Tahoma" w:cs="Tahoma"/>
        </w:rPr>
        <w:t>ADEME (2018). Représentations sociales de l’effet de serre.</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S. Anderson, I. E. Marinescu, B. Shor (2019). « Can Pigou at the Polls Stop US Melting the Poles? »  Working Paper 26146, National Bureau of Economic Research.</w:t>
      </w:r>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D. Bureau, F. Henriet, K. Schubert (2019). </w:t>
      </w:r>
      <w:r>
        <w:rPr>
          <w:rFonts w:ascii="Tahoma" w:eastAsia="Tahoma" w:hAnsi="Tahoma" w:cs="Tahoma"/>
        </w:rPr>
        <w:t>« Pour le climat : une taxe juste, pas juste une taxe ». Les notes du conseil d’analyse économique, (50):12.</w:t>
      </w:r>
    </w:p>
    <w:p w:rsidR="00AD2D01" w:rsidRPr="00245BC0" w:rsidRDefault="00850B7D">
      <w:pPr>
        <w:spacing w:before="240" w:after="240" w:line="240" w:lineRule="auto"/>
        <w:jc w:val="both"/>
        <w:rPr>
          <w:rFonts w:ascii="Tahoma" w:eastAsia="Tahoma" w:hAnsi="Tahoma" w:cs="Tahoma"/>
          <w:lang w:val="en-US"/>
        </w:rPr>
      </w:pPr>
      <w:r w:rsidRPr="00374F71">
        <w:rPr>
          <w:rFonts w:ascii="Tahoma" w:eastAsia="Tahoma" w:hAnsi="Tahoma" w:cs="Tahoma"/>
          <w:lang w:val="en-US"/>
        </w:rPr>
        <w:t xml:space="preserve">S. Carattini, M. Carvalho, S. Fankhauser (2018). </w:t>
      </w:r>
      <w:r w:rsidRPr="00245BC0">
        <w:rPr>
          <w:rFonts w:ascii="Tahoma" w:eastAsia="Tahoma" w:hAnsi="Tahoma" w:cs="Tahoma"/>
          <w:lang w:val="en-US"/>
        </w:rPr>
        <w:t xml:space="preserve">« Overcoming public resistance to carbon taxes ». Wiley Interdisciplinary Reviews: </w:t>
      </w:r>
      <w:r w:rsidRPr="00245BC0">
        <w:rPr>
          <w:rFonts w:ascii="Tahoma" w:eastAsia="Tahoma" w:hAnsi="Tahoma" w:cs="Tahoma"/>
          <w:i/>
          <w:lang w:val="en-US"/>
        </w:rPr>
        <w:t>Climate Change</w:t>
      </w:r>
      <w:r w:rsidRPr="00245BC0">
        <w:rPr>
          <w:rFonts w:ascii="Tahoma" w:eastAsia="Tahoma" w:hAnsi="Tahoma" w:cs="Tahoma"/>
          <w:lang w:val="en-US"/>
        </w:rPr>
        <w:t>, 9(5):e531.</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(2019). « The vertical and horizontal distributive effects of energy taxes: a case study of a French policy », </w:t>
      </w:r>
      <w:r w:rsidRPr="00245BC0">
        <w:rPr>
          <w:rFonts w:ascii="Tahoma" w:eastAsia="Tahoma" w:hAnsi="Tahoma" w:cs="Tahoma"/>
          <w:i/>
          <w:lang w:val="en-US"/>
        </w:rPr>
        <w:t>The Energy Journal</w:t>
      </w:r>
      <w:r w:rsidRPr="00245BC0">
        <w:rPr>
          <w:rFonts w:ascii="Tahoma" w:eastAsia="Tahoma" w:hAnsi="Tahoma" w:cs="Tahoma"/>
          <w:lang w:val="en-US"/>
        </w:rPr>
        <w:t xml:space="preserve"> (Forthcoming)</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A. Fabre (2019). « French Attitudes on Climate Change, Carbon Taxation and other Climate Policies », </w:t>
      </w:r>
      <w:r w:rsidRPr="00245BC0">
        <w:rPr>
          <w:rFonts w:ascii="Tahoma" w:eastAsia="Tahoma" w:hAnsi="Tahoma" w:cs="Tahoma"/>
          <w:i/>
          <w:lang w:val="en-US"/>
        </w:rPr>
        <w:t>Ecological Economics</w:t>
      </w:r>
      <w:r w:rsidRPr="00245BC0">
        <w:rPr>
          <w:rFonts w:ascii="Tahoma" w:eastAsia="Tahoma" w:hAnsi="Tahoma" w:cs="Tahoma"/>
          <w:lang w:val="en-US"/>
        </w:rPr>
        <w:t xml:space="preserve"> (Forthcoming)</w:t>
      </w:r>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T. Douenne, A. Fabre (2019). « Can We Reconcile French People with the Carbon Tax? </w:t>
      </w:r>
      <w:r>
        <w:rPr>
          <w:rFonts w:ascii="Tahoma" w:eastAsia="Tahoma" w:hAnsi="Tahoma" w:cs="Tahoma"/>
        </w:rPr>
        <w:t>Disentangling Beliefs from Preferences » FAERE Working Paper, 2019.10.</w:t>
      </w:r>
    </w:p>
    <w:p w:rsidR="00AD2D01" w:rsidRDefault="00AD2D01">
      <w:pPr>
        <w:spacing w:before="240" w:after="240" w:line="240" w:lineRule="auto"/>
        <w:rPr>
          <w:rFonts w:ascii="Tahoma" w:eastAsia="Tahoma" w:hAnsi="Tahoma" w:cs="Tahoma"/>
        </w:rPr>
      </w:pPr>
    </w:p>
    <w:p w:rsidR="00AD2D01" w:rsidRDefault="00850B7D">
      <w:pPr>
        <w:spacing w:before="240" w:after="240" w:line="240" w:lineRule="auto"/>
        <w:rPr>
          <w:ins w:id="7" w:author="Adrien" w:date="2019-10-22T16:40:00Z"/>
          <w:rFonts w:ascii="Tahoma" w:eastAsia="Tahoma" w:hAnsi="Tahoma" w:cs="Tahoma"/>
        </w:rPr>
      </w:pPr>
      <w:r>
        <w:rPr>
          <w:noProof/>
          <w:lang w:val="en-US" w:eastAsia="en-US" w:bidi="ar-SA"/>
        </w:rPr>
        <mc:AlternateContent>
          <mc:Choice Requires="wps">
            <w:drawing>
              <wp:inline distT="0" distB="0" distL="0" distR="0">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rsidR="00374F71" w:rsidRDefault="00374F71">
      <w:pPr>
        <w:spacing w:before="240" w:after="240" w:line="240" w:lineRule="auto"/>
        <w:rPr>
          <w:rFonts w:ascii="Tahoma" w:eastAsia="Tahoma" w:hAnsi="Tahoma" w:cs="Tahoma"/>
        </w:rPr>
      </w:pP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lastRenderedPageBreak/>
        <w:t>[1]</w:t>
      </w:r>
      <w:r>
        <w:rPr>
          <w:rFonts w:ascii="Tahoma" w:eastAsia="Tahoma" w:hAnsi="Tahoma" w:cs="Tahoma"/>
        </w:rPr>
        <w:t xml:space="preserve"> Ben Jelloul et al, « Budget 2019 : quels effets pour les ménages ? », Notes IPP, vol. 37, Jan 2019, 11p.</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rsidR="00245BC0" w:rsidRDefault="00850B7D" w:rsidP="00245BC0">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w:t>
      </w:r>
      <w:r w:rsidR="00245BC0" w:rsidRPr="00245BC0">
        <w:rPr>
          <w:rFonts w:ascii="Tahoma" w:eastAsia="Tahoma" w:hAnsi="Tahoma" w:cs="Tahoma"/>
        </w:rPr>
        <w:t xml:space="preserve"> </w:t>
      </w:r>
    </w:p>
    <w:p w:rsidR="00245BC0" w:rsidRDefault="00245BC0" w:rsidP="00245BC0">
      <w:pPr>
        <w:spacing w:before="240" w:after="240" w:line="240" w:lineRule="auto"/>
        <w:rPr>
          <w:rFonts w:ascii="Tahoma" w:eastAsia="Tahoma" w:hAnsi="Tahoma" w:cs="Tahoma"/>
        </w:rPr>
      </w:pPr>
      <w:commentRangeStart w:id="8"/>
      <w:commentRangeStart w:id="9"/>
      <w:r>
        <w:rPr>
          <w:rFonts w:ascii="Calibri" w:eastAsia="Calibri" w:hAnsi="Calibri" w:cs="Calibri"/>
          <w:color w:val="00000A"/>
          <w:sz w:val="20"/>
          <w:szCs w:val="20"/>
        </w:rPr>
        <w:t>[7]</w:t>
      </w:r>
      <w:r>
        <w:rPr>
          <w:rFonts w:ascii="Tahoma" w:eastAsia="Tahoma" w:hAnsi="Tahoma" w:cs="Tahoma"/>
        </w:rPr>
        <w:t xml:space="preserve"> Voir Carattini e</w:t>
      </w:r>
      <w:commentRangeEnd w:id="8"/>
      <w:r>
        <w:commentReference w:id="8"/>
      </w:r>
      <w:commentRangeEnd w:id="9"/>
      <w:r>
        <w:commentReference w:id="9"/>
      </w:r>
      <w:r>
        <w:rPr>
          <w:rFonts w:ascii="Tahoma" w:eastAsia="Tahoma" w:hAnsi="Tahoma" w:cs="Tahoma"/>
        </w:rPr>
        <w:t>t al (2018)</w:t>
      </w:r>
    </w:p>
    <w:p w:rsidR="00AD2D01" w:rsidRDefault="00AD2D01">
      <w:pPr>
        <w:spacing w:before="240" w:after="240" w:line="240" w:lineRule="auto"/>
        <w:rPr>
          <w:rFonts w:ascii="Tahoma" w:eastAsia="Tahoma" w:hAnsi="Tahoma" w:cs="Tahoma"/>
        </w:rPr>
      </w:pPr>
    </w:p>
    <w:p w:rsidR="00AD2D01" w:rsidRDefault="00AD2D01">
      <w:pPr>
        <w:spacing w:before="240" w:after="240" w:line="240" w:lineRule="auto"/>
        <w:rPr>
          <w:rFonts w:ascii="Tahoma" w:eastAsia="Tahoma" w:hAnsi="Tahoma" w:cs="Tahoma"/>
          <w:b/>
          <w:color w:val="0070C0"/>
        </w:rPr>
      </w:pPr>
    </w:p>
    <w:p w:rsidR="00AD2D01" w:rsidRDefault="00AD2D01"/>
    <w:sectPr w:rsidR="00AD2D01">
      <w:type w:val="continuous"/>
      <w:pgSz w:w="11906" w:h="16838"/>
      <w:pgMar w:top="1440" w:right="1132" w:bottom="1440" w:left="1133" w:header="720" w:footer="0" w:gutter="0"/>
      <w:cols w:num="2" w:space="298"/>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FABRE" w:date="2019-10-18T23:22:00Z" w:initials="">
    <w:p w:rsidR="00AD2D01" w:rsidRDefault="00850B7D">
      <w:pPr>
        <w:pStyle w:val="LO-normal"/>
      </w:pPr>
      <w:r w:rsidRPr="00245BC0">
        <w:rPr>
          <w:rFonts w:ascii="Liberation Serif" w:eastAsia="DejaVu Sans" w:hAnsi="Liberation Serif" w:cs="DejaVu Sans"/>
          <w:sz w:val="24"/>
          <w:szCs w:val="24"/>
          <w:lang w:eastAsia="en-US" w:bidi="en-US"/>
        </w:rPr>
        <w:t>on met des abbréviations ou pas ? c'est bizarre d'en avoir qu'une</w:t>
      </w:r>
    </w:p>
  </w:comment>
  <w:comment w:id="2" w:author="Adrien FABRE" w:date="2019-10-18T23:24:00Z" w:initials="">
    <w:p w:rsidR="00AD2D01" w:rsidRDefault="00850B7D">
      <w:pPr>
        <w:pStyle w:val="LO-normal"/>
      </w:pPr>
      <w:r w:rsidRPr="00245BC0">
        <w:rPr>
          <w:rFonts w:ascii="Liberation Serif" w:eastAsia="DejaVu Sans" w:hAnsi="Liberation Serif" w:cs="DejaVu Sans"/>
          <w:sz w:val="24"/>
          <w:szCs w:val="24"/>
          <w:lang w:eastAsia="en-US" w:bidi="en-US"/>
        </w:rPr>
        <w:t>J'ai raccourci la fin de phrase: " mais seulement 20 à 25% estiment que ce sont des “causes naturelles”, les “générations passées” ou les “gouvernements”, 42% nommant “les riches” et 47% “certains pays étrangers”."</w:t>
      </w:r>
    </w:p>
  </w:comment>
  <w:comment w:id="3" w:author="Thomas DOUENNE" w:date="2019-10-20T07:11:00Z" w:initials="">
    <w:p w:rsidR="00AD2D01" w:rsidRDefault="00850B7D">
      <w:pPr>
        <w:pStyle w:val="LO-normal"/>
      </w:pPr>
      <w:r w:rsidRPr="00245BC0">
        <w:rPr>
          <w:rFonts w:ascii="Liberation Serif" w:eastAsia="DejaVu Sans" w:hAnsi="Liberation Serif" w:cs="DejaVu Sans"/>
          <w:sz w:val="24"/>
          <w:szCs w:val="24"/>
          <w:lang w:eastAsia="en-US" w:bidi="en-US"/>
        </w:rPr>
        <w:t>On peut mettre "changement climatique", surtout pour des lecteurs qui sont pas forcéments habitués à voir CC.</w:t>
      </w:r>
    </w:p>
  </w:comment>
  <w:comment w:id="5" w:author="Adrien FABRE" w:date="2019-10-16T15:30:00Z" w:initials="">
    <w:p w:rsidR="00AD2D01" w:rsidRDefault="00850B7D">
      <w:pPr>
        <w:pStyle w:val="LO-normal"/>
      </w:pPr>
      <w:r w:rsidRPr="00245BC0">
        <w:rPr>
          <w:rFonts w:ascii="Liberation Serif" w:eastAsia="DejaVu Sans" w:hAnsi="Liberation Serif" w:cs="DejaVu Sans"/>
          <w:sz w:val="24"/>
          <w:szCs w:val="24"/>
          <w:lang w:eastAsia="en-US" w:bidi="en-US"/>
        </w:rPr>
        <w:t>ou peut même inclure ton graphe sur l'hétérogénéité ici</w:t>
      </w:r>
    </w:p>
  </w:comment>
  <w:comment w:id="6" w:author="Thomas DOUENNE" w:date="2019-10-16T15:41:00Z" w:initials="">
    <w:p w:rsidR="00AD2D01" w:rsidRDefault="00850B7D">
      <w:pPr>
        <w:pStyle w:val="LO-normal"/>
      </w:pPr>
      <w:r w:rsidRPr="00245BC0">
        <w:rPr>
          <w:rFonts w:ascii="Liberation Serif" w:eastAsia="DejaVu Sans" w:hAnsi="Liberation Serif" w:cs="DejaVu Sans"/>
          <w:sz w:val="24"/>
          <w:szCs w:val="24"/>
          <w:lang w:eastAsia="en-US" w:bidi="en-US"/>
        </w:rPr>
        <w:t>C'est pas le focus de la note, mais si on en met un on peut le prendre de la note CAE, en montrant qu'en donnant plus aux plus modestes on peut réduire la part de perdants dans ces groupes à presque 0.</w:t>
      </w:r>
    </w:p>
  </w:comment>
  <w:comment w:id="8" w:author="Adrien FABRE" w:date="2019-10-22T16:35:00Z" w:initials="">
    <w:p w:rsidR="00245BC0" w:rsidRDefault="00245BC0" w:rsidP="00245BC0">
      <w:pPr>
        <w:pStyle w:val="LO-normal"/>
      </w:pPr>
      <w:r w:rsidRPr="00245BC0">
        <w:rPr>
          <w:rFonts w:ascii="Liberation Serif" w:eastAsia="DejaVu Sans" w:hAnsi="Liberation Serif" w:cs="DejaVu Sans"/>
          <w:sz w:val="24"/>
          <w:szCs w:val="24"/>
          <w:lang w:eastAsia="en-US" w:bidi="en-US"/>
        </w:rPr>
        <w:t>bizarre tes notes de bas de pages</w:t>
      </w:r>
    </w:p>
  </w:comment>
  <w:comment w:id="9" w:author="Thomas DOUENNE" w:date="2019-10-22T16:35:00Z" w:initials="">
    <w:p w:rsidR="00245BC0" w:rsidRDefault="00245BC0" w:rsidP="00245BC0">
      <w:pPr>
        <w:pStyle w:val="LO-normal"/>
      </w:pPr>
      <w:r w:rsidRPr="00245BC0">
        <w:rPr>
          <w:rFonts w:ascii="Liberation Serif" w:eastAsia="DejaVu Sans" w:hAnsi="Liberation Serif" w:cs="DejaVu Sans"/>
          <w:sz w:val="24"/>
          <w:szCs w:val="24"/>
          <w:lang w:eastAsia="en-US" w:bidi="en-US"/>
        </w:rPr>
        <w:t>Oui elle s'est mise au mauvais endroit lors du copier-coller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919" w:rsidRDefault="00171919">
      <w:pPr>
        <w:spacing w:line="240" w:lineRule="auto"/>
      </w:pPr>
      <w:r>
        <w:separator/>
      </w:r>
    </w:p>
  </w:endnote>
  <w:endnote w:type="continuationSeparator" w:id="0">
    <w:p w:rsidR="00171919" w:rsidRDefault="00171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919" w:rsidRDefault="00171919">
      <w:pPr>
        <w:spacing w:line="240" w:lineRule="auto"/>
      </w:pPr>
      <w:r>
        <w:separator/>
      </w:r>
    </w:p>
  </w:footnote>
  <w:footnote w:type="continuationSeparator" w:id="0">
    <w:p w:rsidR="00171919" w:rsidRDefault="001719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D01" w:rsidRDefault="00850B7D">
    <w:pPr>
      <w:jc w:val="right"/>
    </w:pPr>
    <w:r>
      <w:fldChar w:fldCharType="begin"/>
    </w:r>
    <w:r>
      <w:instrText>PAGE</w:instrText>
    </w:r>
    <w:r>
      <w:fldChar w:fldCharType="separate"/>
    </w:r>
    <w:r w:rsidR="00374F71">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2D01"/>
    <w:rsid w:val="00171919"/>
    <w:rsid w:val="00245BC0"/>
    <w:rsid w:val="00374F71"/>
    <w:rsid w:val="00850B7D"/>
    <w:rsid w:val="00AD2D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png"/><Relationship Id="rId26" Type="http://schemas.openxmlformats.org/officeDocument/2006/relationships/image" Target="media/image80.png"/><Relationship Id="rId3" Type="http://schemas.microsoft.com/office/2007/relationships/stylesWithEffects" Target="stylesWithEffect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7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90.png"/><Relationship Id="rId10" Type="http://schemas.openxmlformats.org/officeDocument/2006/relationships/image" Target="media/image2.png"/><Relationship Id="rId19" Type="http://schemas.openxmlformats.org/officeDocument/2006/relationships/image" Target="media/image5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comments" Target="comments.xml"/><Relationship Id="rId22" Type="http://schemas.openxmlformats.org/officeDocument/2006/relationships/hyperlink" Target="https://www.alternatives-economiques.fr/part-differents-modes-de-transport-fonction-de-distance-domicile-travail-effectuee-actifs-ayant-un-0112201781570.html" TargetMode="External"/><Relationship Id="rId27" Type="http://schemas.openxmlformats.org/officeDocument/2006/relationships/image" Target="media/image9.png"/><Relationship Id="rId30"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D0ED5-E72D-45AF-A069-721AE62A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3849</Words>
  <Characters>21020</Characters>
  <Application>Microsoft Office Word</Application>
  <DocSecurity>0</DocSecurity>
  <Lines>618</Lines>
  <Paragraphs>66</Paragraphs>
  <ScaleCrop>false</ScaleCrop>
  <Company>Microsoft</Company>
  <LinksUpToDate>false</LinksUpToDate>
  <CharactersWithSpaces>24803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13</cp:revision>
  <dcterms:created xsi:type="dcterms:W3CDTF">2019-10-22T20:29:00Z</dcterms:created>
  <dcterms:modified xsi:type="dcterms:W3CDTF">2019-10-22T20:43:00Z</dcterms:modified>
  <dc:language>fr-FR</dc:language>
</cp:coreProperties>
</file>