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C9" w:rsidRDefault="009967C9" w:rsidP="00B24C8E">
      <w:pPr>
        <w:spacing w:after="200" w:line="276" w:lineRule="exact"/>
        <w:jc w:val="center"/>
        <w:rPr>
          <w:rFonts w:ascii="Liberation Serif" w:eastAsia="Calibri" w:hAnsi="Liberation Serif" w:cs="Calibri"/>
          <w:b/>
          <w:sz w:val="30"/>
          <w:szCs w:val="30"/>
        </w:rPr>
      </w:pPr>
      <w:r w:rsidRPr="009967C9">
        <w:rPr>
          <w:rFonts w:ascii="Liberation Serif" w:eastAsia="Calibri" w:hAnsi="Liberation Serif" w:cs="Calibri"/>
          <w:b/>
          <w:sz w:val="30"/>
          <w:szCs w:val="30"/>
        </w:rPr>
        <w:t>Opinions des Français sur les politiques climatiques</w:t>
      </w:r>
    </w:p>
    <w:p w:rsidR="00B24C8E" w:rsidRDefault="00525F55"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w:t>
      </w:r>
      <w:r w:rsidR="009967C9">
        <w:rPr>
          <w:rFonts w:ascii="Liberation Serif" w:eastAsia="Calibri" w:hAnsi="Liberation Serif" w:cs="Calibri"/>
          <w:sz w:val="28"/>
          <w:szCs w:val="28"/>
        </w:rPr>
        <w:t xml:space="preserve"> &amp; Thomas Douenne</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sidR="00174D21">
        <w:rPr>
          <w:rFonts w:ascii="Liberation Serif" w:eastAsia="Calibri" w:hAnsi="Liberation Serif" w:cs="Calibri"/>
          <w:sz w:val="24"/>
        </w:rPr>
        <w:t>s</w:t>
      </w:r>
      <w:r>
        <w:rPr>
          <w:rFonts w:ascii="Liberation Serif" w:eastAsia="Calibri" w:hAnsi="Liberation Serif" w:cs="Calibri"/>
          <w:sz w:val="24"/>
        </w:rPr>
        <w:t xml:space="preserve"> en sciences sociales, </w:t>
      </w:r>
      <w:r w:rsidR="00174D21">
        <w:rPr>
          <w:rFonts w:ascii="Liberation Serif" w:eastAsia="Calibri" w:hAnsi="Liberation Serif" w:cs="Calibri"/>
          <w:sz w:val="24"/>
        </w:rPr>
        <w:t>nous avons</w:t>
      </w:r>
      <w:r>
        <w:rPr>
          <w:rFonts w:ascii="Liberation Serif" w:eastAsia="Calibri" w:hAnsi="Liberation Serif" w:cs="Calibri"/>
          <w:sz w:val="24"/>
        </w:rPr>
        <w:t xml:space="preserve"> </w:t>
      </w:r>
      <w:r w:rsidR="000825CB">
        <w:rPr>
          <w:rFonts w:ascii="Liberation Serif" w:eastAsia="Calibri" w:hAnsi="Liberation Serif" w:cs="Calibri"/>
          <w:sz w:val="24"/>
        </w:rPr>
        <w:t xml:space="preserve">réalisé </w:t>
      </w:r>
      <w:r>
        <w:rPr>
          <w:rFonts w:ascii="Liberation Serif" w:eastAsia="Calibri" w:hAnsi="Liberation Serif" w:cs="Calibri"/>
          <w:sz w:val="24"/>
        </w:rPr>
        <w:t xml:space="preserve">une enquête représentative </w:t>
      </w:r>
      <w:r w:rsidR="00F04064">
        <w:rPr>
          <w:rFonts w:ascii="Liberation Serif" w:eastAsia="Calibri" w:hAnsi="Liberation Serif" w:cs="Calibri"/>
          <w:sz w:val="24"/>
        </w:rPr>
        <w:t>en février</w:t>
      </w:r>
      <w:r w:rsidR="00D942AC">
        <w:rPr>
          <w:rFonts w:ascii="Liberation Serif" w:eastAsia="Calibri" w:hAnsi="Liberation Serif" w:cs="Calibri"/>
          <w:sz w:val="24"/>
        </w:rPr>
        <w:t>–</w:t>
      </w:r>
      <w:r w:rsidR="00F04064">
        <w:rPr>
          <w:rFonts w:ascii="Liberation Serif" w:eastAsia="Calibri" w:hAnsi="Liberation Serif" w:cs="Calibri"/>
          <w:sz w:val="24"/>
        </w:rPr>
        <w:t xml:space="preserve">mars  2019 </w:t>
      </w:r>
      <w:r>
        <w:rPr>
          <w:rFonts w:ascii="Liberation Serif" w:eastAsia="Calibri" w:hAnsi="Liberation Serif" w:cs="Calibri"/>
          <w:sz w:val="24"/>
        </w:rPr>
        <w:t>sur 3000 Françaises et Français</w:t>
      </w:r>
      <w:r w:rsidR="00F04064">
        <w:rPr>
          <w:rFonts w:ascii="Liberation Serif" w:eastAsia="Calibri" w:hAnsi="Liberation Serif" w:cs="Calibri"/>
          <w:sz w:val="24"/>
        </w:rPr>
        <w:t xml:space="preserve"> </w:t>
      </w:r>
      <w:r>
        <w:rPr>
          <w:rFonts w:ascii="Liberation Serif" w:eastAsia="Calibri" w:hAnsi="Liberation Serif" w:cs="Calibri"/>
          <w:sz w:val="24"/>
        </w:rPr>
        <w:t xml:space="preserve">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w:t>
      </w:r>
      <w:r w:rsidR="00174D21">
        <w:rPr>
          <w:rFonts w:ascii="Liberation Serif" w:eastAsia="Calibri" w:hAnsi="Liberation Serif" w:cs="Calibri"/>
          <w:sz w:val="24"/>
        </w:rPr>
        <w:t xml:space="preserve">nous </w:t>
      </w:r>
      <w:r>
        <w:rPr>
          <w:rFonts w:ascii="Liberation Serif" w:eastAsia="Calibri" w:hAnsi="Liberation Serif" w:cs="Calibri"/>
          <w:sz w:val="24"/>
        </w:rPr>
        <w:t>esp</w:t>
      </w:r>
      <w:r w:rsidR="00174D21">
        <w:rPr>
          <w:rFonts w:ascii="Liberation Serif" w:eastAsia="Calibri" w:hAnsi="Liberation Serif" w:cs="Calibri"/>
          <w:sz w:val="24"/>
        </w:rPr>
        <w:t>érons</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w:t>
      </w:r>
      <w:r w:rsidR="00174D21">
        <w:rPr>
          <w:rFonts w:ascii="Liberation Serif" w:eastAsia="Calibri" w:hAnsi="Liberation Serif" w:cs="Calibri"/>
          <w:sz w:val="24"/>
        </w:rPr>
        <w:t>Cette observation justifie</w:t>
      </w:r>
      <w:r>
        <w:rPr>
          <w:rFonts w:ascii="Liberation Serif" w:eastAsia="Calibri" w:hAnsi="Liberation Serif" w:cs="Calibri"/>
          <w:sz w:val="24"/>
        </w:rPr>
        <w:t xml:space="preserve"> </w:t>
      </w:r>
      <w:r w:rsidR="00174D21">
        <w:rPr>
          <w:rFonts w:ascii="Liberation Serif" w:eastAsia="Calibri" w:hAnsi="Liberation Serif" w:cs="Calibri"/>
          <w:sz w:val="24"/>
        </w:rPr>
        <w:t>l</w:t>
      </w:r>
      <w:r>
        <w:rPr>
          <w:rFonts w:ascii="Liberation Serif" w:eastAsia="Calibri" w:hAnsi="Liberation Serif" w:cs="Calibri"/>
          <w:sz w:val="24"/>
        </w:rPr>
        <w:t>es propositions de la convention citoyenne consist</w:t>
      </w:r>
      <w:r w:rsidR="00174D21">
        <w:rPr>
          <w:rFonts w:ascii="Liberation Serif" w:eastAsia="Calibri" w:hAnsi="Liberation Serif" w:cs="Calibri"/>
          <w:sz w:val="24"/>
        </w:rPr>
        <w:t>ant</w:t>
      </w:r>
      <w:r>
        <w:rPr>
          <w:rFonts w:ascii="Liberation Serif" w:eastAsia="Calibri" w:hAnsi="Liberation Serif" w:cs="Calibri"/>
          <w:sz w:val="24"/>
        </w:rPr>
        <w:t xml:space="preserve"> à lancer une campagne d’information massive et durable afin que tout le monde acquière une compréhension satisfaisante des problèmes sociétaux et des solutions</w:t>
      </w:r>
      <w:r w:rsidR="00174D21">
        <w:rPr>
          <w:rFonts w:ascii="Liberation Serif" w:eastAsia="Calibri" w:hAnsi="Liberation Serif" w:cs="Calibri"/>
          <w:sz w:val="24"/>
        </w:rPr>
        <w:t xml:space="preserve"> possibles</w:t>
      </w:r>
      <w:r>
        <w:rPr>
          <w:rFonts w:ascii="Liberation Serif" w:eastAsia="Calibri" w:hAnsi="Liberation Serif" w:cs="Calibri"/>
          <w:sz w:val="24"/>
        </w:rPr>
        <w:t xml:space="preserve">. </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combustibles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3619C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2"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w:t>
      </w:r>
      <w:r w:rsidR="00174D21">
        <w:rPr>
          <w:rFonts w:ascii="Liberation Serif" w:eastAsia="Calibri" w:hAnsi="Liberation Serif" w:cs="Calibri"/>
          <w:sz w:val="24"/>
        </w:rPr>
        <w:t xml:space="preserve">pourrait </w:t>
      </w:r>
      <w:r w:rsidR="00982976">
        <w:rPr>
          <w:rFonts w:ascii="Liberation Serif" w:eastAsia="Calibri" w:hAnsi="Liberation Serif" w:cs="Calibri"/>
          <w:sz w:val="24"/>
        </w:rPr>
        <w:t>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3"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509CE">
        <w:rPr>
          <w:rFonts w:ascii="Liberation Serif" w:eastAsia="Calibri" w:hAnsi="Liberation Serif" w:cs="Calibri"/>
          <w:sz w:val="24"/>
        </w:rPr>
        <w:t>avec</w:t>
      </w:r>
      <w:r>
        <w:rPr>
          <w:rFonts w:ascii="Liberation Serif" w:eastAsia="Calibri" w:hAnsi="Liberation Serif" w:cs="Calibri"/>
          <w:sz w:val="24"/>
        </w:rPr>
        <w:t xml:space="preserve"> dividende » : une taxe carbone dont les recettes sont redistribuées directement aux gens. Le Conseil d’Analyse Économique </w:t>
      </w:r>
      <w:hyperlink r:id="rId14"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w:t>
      </w:r>
      <w:r>
        <w:rPr>
          <w:rFonts w:ascii="Liberation Serif" w:eastAsia="Calibri" w:hAnsi="Liberation Serif" w:cs="Calibri"/>
          <w:sz w:val="24"/>
        </w:rPr>
        <w:lastRenderedPageBreak/>
        <w:t>plus élevé aux ménages les plus modestes, et de ne pas en verser aux ménages les plus riches,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 xml:space="preserve">t typiquement 200€/an, et qu’il n’y aurait que 14% de perdants (les plus gros émetteurs) parmi la moitié les plus modestes (Figure 2). </w:t>
      </w:r>
      <w:proofErr w:type="spellStart"/>
      <w:r w:rsidR="00982976">
        <w:rPr>
          <w:rFonts w:ascii="Liberation Serif" w:eastAsia="Calibri" w:hAnsi="Liberation Serif" w:cs="Calibri"/>
          <w:sz w:val="24"/>
        </w:rPr>
        <w:t>Priscillia</w:t>
      </w:r>
      <w:proofErr w:type="spellEnd"/>
      <w:r w:rsidR="00982976">
        <w:rPr>
          <w:rFonts w:ascii="Liberation Serif" w:eastAsia="Calibri" w:hAnsi="Liberation Serif" w:cs="Calibri"/>
          <w:sz w:val="24"/>
        </w:rPr>
        <w:t xml:space="preserve"> </w:t>
      </w:r>
      <w:proofErr w:type="spellStart"/>
      <w:r w:rsidR="00982976">
        <w:rPr>
          <w:rFonts w:ascii="Liberation Serif" w:eastAsia="Calibri" w:hAnsi="Liberation Serif" w:cs="Calibri"/>
          <w:sz w:val="24"/>
        </w:rPr>
        <w:t>Ludosky</w:t>
      </w:r>
      <w:proofErr w:type="spellEnd"/>
      <w:r w:rsidR="00982976">
        <w:rPr>
          <w:rFonts w:ascii="Liberation Serif" w:eastAsia="Calibri" w:hAnsi="Liberation Serif" w:cs="Calibri"/>
          <w:sz w:val="24"/>
        </w:rPr>
        <w:t>, initiatrice de la pétition « </w:t>
      </w:r>
      <w:hyperlink r:id="rId15"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6"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w:t>
      </w:r>
      <w:r w:rsidR="00174D21">
        <w:rPr>
          <w:rFonts w:ascii="Liberation Serif" w:eastAsia="Calibri" w:hAnsi="Liberation Serif" w:cs="Calibri"/>
          <w:sz w:val="24"/>
        </w:rPr>
        <w:t xml:space="preserve">d’ailleurs </w:t>
      </w:r>
      <w:r w:rsidR="00982976">
        <w:rPr>
          <w:rFonts w:ascii="Liberation Serif" w:eastAsia="Calibri" w:hAnsi="Liberation Serif" w:cs="Calibri"/>
          <w:sz w:val="24"/>
        </w:rPr>
        <w:t xml:space="preserve">cette version de la taxe carbone. </w:t>
      </w:r>
      <w:r w:rsidR="000509CE">
        <w:rPr>
          <w:rFonts w:ascii="Liberation Serif" w:eastAsia="Calibri" w:hAnsi="Liberation Serif" w:cs="Calibri"/>
          <w:sz w:val="24"/>
        </w:rPr>
        <w:t>Nous</w:t>
      </w:r>
      <w:r w:rsidR="00174D21">
        <w:rPr>
          <w:rFonts w:ascii="Liberation Serif" w:eastAsia="Calibri" w:hAnsi="Liberation Serif" w:cs="Calibri"/>
          <w:sz w:val="24"/>
        </w:rPr>
        <w:t xml:space="preserve"> avons proposé aux répondants</w:t>
      </w:r>
      <w:r w:rsidR="000509CE">
        <w:rPr>
          <w:rFonts w:ascii="Liberation Serif" w:eastAsia="Calibri" w:hAnsi="Liberation Serif" w:cs="Calibri"/>
          <w:sz w:val="24"/>
        </w:rPr>
        <w:t xml:space="preserve"> des taxes avec dividende dont le dividende serait reversé </w:t>
      </w:r>
      <w:r w:rsidR="006C7A58">
        <w:rPr>
          <w:rFonts w:ascii="Liberation Serif" w:eastAsia="Calibri" w:hAnsi="Liberation Serif" w:cs="Calibri"/>
          <w:sz w:val="24"/>
        </w:rPr>
        <w:t xml:space="preserve">uniformément </w:t>
      </w:r>
      <w:r w:rsidR="000509CE">
        <w:rPr>
          <w:rFonts w:ascii="Liberation Serif" w:eastAsia="Calibri" w:hAnsi="Liberation Serif" w:cs="Calibri"/>
          <w:sz w:val="24"/>
        </w:rPr>
        <w:t>à chaque adulte, ou seulement aux 20%, 30%, 40%, ou 50% les plus modestes.</w:t>
      </w:r>
      <w:r w:rsidR="00174D21">
        <w:rPr>
          <w:rFonts w:ascii="Liberation Serif" w:eastAsia="Calibri" w:hAnsi="Liberation Serif" w:cs="Calibri"/>
          <w:sz w:val="24"/>
        </w:rPr>
        <w:t xml:space="preserve"> </w:t>
      </w:r>
      <w:r w:rsidR="000509CE">
        <w:rPr>
          <w:rFonts w:ascii="Liberation Serif" w:eastAsia="Calibri" w:hAnsi="Liberation Serif" w:cs="Calibri"/>
          <w:sz w:val="24"/>
        </w:rPr>
        <w:t xml:space="preserve">Entre 65% et 74% d’entre eux ont rejetées la taxe avec dividende proposée, et seuls 13% à 18% l’ont approuvée. Sans surprise, plus les gens se sentent proches des Gilets jaunes, plus ils rejettent la proposition, tandis que le </w:t>
      </w:r>
      <w:r w:rsidR="006C7A58">
        <w:rPr>
          <w:rFonts w:ascii="Liberation Serif" w:eastAsia="Calibri" w:hAnsi="Liberation Serif" w:cs="Calibri"/>
          <w:sz w:val="24"/>
        </w:rPr>
        <w:t>positionnement</w:t>
      </w:r>
      <w:r w:rsidR="000509CE">
        <w:rPr>
          <w:rFonts w:ascii="Liberation Serif" w:eastAsia="Calibri" w:hAnsi="Liberation Serif" w:cs="Calibri"/>
          <w:sz w:val="24"/>
        </w:rPr>
        <w:t xml:space="preserve"> gauche</w:t>
      </w:r>
      <w:r w:rsidR="000509CE">
        <w:rPr>
          <w:rFonts w:ascii="Liberation Serif" w:eastAsia="Calibri" w:hAnsi="Liberation Serif" w:cs="Calibri"/>
          <w:sz w:val="24"/>
        </w:rPr>
        <w:t>–</w:t>
      </w:r>
      <w:r w:rsidR="006C7A58">
        <w:rPr>
          <w:rFonts w:ascii="Liberation Serif" w:eastAsia="Calibri" w:hAnsi="Liberation Serif" w:cs="Calibri"/>
          <w:sz w:val="24"/>
        </w:rPr>
        <w:t>droite est moins pertinent</w:t>
      </w:r>
      <w:r w:rsidR="000509CE">
        <w:rPr>
          <w:rFonts w:ascii="Liberation Serif" w:eastAsia="Calibri" w:hAnsi="Liberation Serif" w:cs="Calibri"/>
          <w:sz w:val="24"/>
        </w:rPr>
        <w:t xml:space="preserve"> pour comprendre le rejet.</w:t>
      </w:r>
      <w:r w:rsidR="006C7A58">
        <w:rPr>
          <w:rFonts w:ascii="Liberation Serif" w:eastAsia="Calibri" w:hAnsi="Liberation Serif" w:cs="Calibri"/>
          <w:sz w:val="24"/>
        </w:rPr>
        <w:t xml:space="preserve"> Par ailleurs, nous observons une approbation unanime de la </w:t>
      </w:r>
      <w:r w:rsidR="006C7A58">
        <w:rPr>
          <w:rFonts w:ascii="Liberation Serif" w:eastAsia="Calibri" w:hAnsi="Liberation Serif" w:cs="Calibri"/>
          <w:sz w:val="24"/>
        </w:rPr>
        <w:t>taxe avec dividende</w:t>
      </w:r>
      <w:r w:rsidR="006C7A58">
        <w:rPr>
          <w:rFonts w:ascii="Liberation Serif" w:eastAsia="Calibri" w:hAnsi="Liberation Serif" w:cs="Calibri"/>
          <w:sz w:val="24"/>
        </w:rPr>
        <w:t xml:space="preserve"> parmi les personnes qui pensent gagner en pouvoir d’achat grâce à une telle mesure, qui pensent qu’elle permet de lutter contre le changement climatique et de réduire la pollution, et qu’elle avantage les plus modestes. Croire en une seule de ces trois propriétés (intérêt personnel, efficacité environnementale et progressivité) suffit à augmenter le taux d’acceptation de 30 à 40%. Ainsi, le rejet s’explique par une grande méfiance quant aux effets d’une taxe avec dividende. Par exemple</w:t>
      </w:r>
      <w:r w:rsidR="006C7A58">
        <w:rPr>
          <w:rFonts w:ascii="Liberation Serif" w:eastAsia="Calibri" w:hAnsi="Liberation Serif" w:cs="Calibri"/>
          <w:sz w:val="24"/>
        </w:rPr>
        <w:t>, même si 61 % des gens gagneraient en pouvoir d’achat suite à une taxe &amp; dividende uniforme, seuls 14 % estiment que ce serait le cas pour leur ménage.</w:t>
      </w:r>
      <w:r w:rsidR="003619C1">
        <w:rPr>
          <w:rFonts w:ascii="Liberation Serif" w:eastAsia="Calibri" w:hAnsi="Liberation Serif" w:cs="Calibri"/>
          <w:sz w:val="24"/>
        </w:rPr>
        <w:t xml:space="preserve"> </w:t>
      </w:r>
      <w:r w:rsidR="00020DF6">
        <w:rPr>
          <w:rFonts w:ascii="Liberation Serif" w:eastAsia="Calibri" w:hAnsi="Liberation Serif" w:cs="Calibri"/>
          <w:sz w:val="24"/>
        </w:rPr>
        <w:t>Afin de lutter contre les préjugés négatifs à l’encontre de la taxe avec dividende</w:t>
      </w:r>
      <w:r w:rsidR="00982976">
        <w:rPr>
          <w:rFonts w:ascii="Liberation Serif" w:eastAsia="Calibri" w:hAnsi="Liberation Serif" w:cs="Calibri"/>
          <w:sz w:val="24"/>
        </w:rPr>
        <w:t>,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7"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w:t>
      </w:r>
      <w:r w:rsidR="00020DF6">
        <w:rPr>
          <w:rFonts w:ascii="Liberation Serif" w:eastAsia="Calibri" w:hAnsi="Liberation Serif" w:cs="Calibri"/>
          <w:sz w:val="24"/>
        </w:rPr>
        <w:t>l’impact qu’elle aurait sur</w:t>
      </w:r>
      <w:r>
        <w:rPr>
          <w:rFonts w:ascii="Liberation Serif" w:eastAsia="Calibri" w:hAnsi="Liberation Serif" w:cs="Calibri"/>
          <w:sz w:val="24"/>
        </w:rPr>
        <w:t xml:space="preserve"> son pouvoir d’achat. </w:t>
      </w:r>
    </w:p>
    <w:p w:rsidR="00E173B6" w:rsidRDefault="003619C1" w:rsidP="00B72371">
      <w:pPr>
        <w:spacing w:after="200" w:line="276" w:lineRule="exact"/>
        <w:jc w:val="both"/>
        <w:rPr>
          <w:rFonts w:ascii="Liberation Serif" w:eastAsia="Calibri" w:hAnsi="Liberation Serif" w:cs="Calibri"/>
          <w:sz w:val="24"/>
        </w:rPr>
      </w:pPr>
      <w:r>
        <w:rPr>
          <w:noProof/>
          <w:lang w:val="en-US" w:eastAsia="en-US" w:bidi="ar-SA"/>
        </w:rPr>
        <mc:AlternateContent>
          <mc:Choice Requires="wps">
            <w:drawing>
              <wp:anchor distT="0" distB="0" distL="0" distR="0" simplePos="0" relativeHeight="251661312" behindDoc="0" locked="0" layoutInCell="1" allowOverlap="1" wp14:anchorId="7C4D537D" wp14:editId="3D88E95B">
                <wp:simplePos x="0" y="0"/>
                <wp:positionH relativeFrom="column">
                  <wp:posOffset>1233805</wp:posOffset>
                </wp:positionH>
                <wp:positionV relativeFrom="paragraph">
                  <wp:posOffset>264160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5D8B468C" wp14:editId="431E5D5F">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19"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20.8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5D8B468C" wp14:editId="431E5D5F">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sidR="00493B0E">
        <w:rPr>
          <w:rFonts w:ascii="Liberation Serif" w:eastAsia="Calibri" w:hAnsi="Liberation Serif" w:cs="Calibri"/>
          <w:sz w:val="24"/>
        </w:rPr>
        <w:tab/>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003619C1">
        <w:rPr>
          <w:rFonts w:ascii="Liberation Serif" w:eastAsia="Calibri" w:hAnsi="Liberation Serif" w:cs="Calibri"/>
          <w:sz w:val="24"/>
        </w:rPr>
        <w:t>Cela dit, notre enquête montre</w:t>
      </w:r>
      <w:r w:rsidR="003619C1">
        <w:rPr>
          <w:rFonts w:ascii="Liberation Serif" w:eastAsia="Calibri" w:hAnsi="Liberation Serif" w:cs="Calibri"/>
          <w:sz w:val="24"/>
        </w:rPr>
        <w:t xml:space="preserve"> que les croyances sont persistantes, et il est peu probable qu</w:t>
      </w:r>
      <w:r w:rsidR="00020DF6">
        <w:rPr>
          <w:rFonts w:ascii="Liberation Serif" w:eastAsia="Calibri" w:hAnsi="Liberation Serif" w:cs="Calibri"/>
          <w:sz w:val="24"/>
        </w:rPr>
        <w:t>’un meilleur accès à l’information puisse faire accepter</w:t>
      </w:r>
      <w:r w:rsidR="003619C1">
        <w:rPr>
          <w:rFonts w:ascii="Liberation Serif" w:eastAsia="Calibri" w:hAnsi="Liberation Serif" w:cs="Calibri"/>
          <w:sz w:val="24"/>
        </w:rPr>
        <w:t xml:space="preserve"> </w:t>
      </w:r>
      <w:r w:rsidR="00020DF6">
        <w:rPr>
          <w:rFonts w:ascii="Liberation Serif" w:eastAsia="Calibri" w:hAnsi="Liberation Serif" w:cs="Calibri"/>
          <w:sz w:val="24"/>
        </w:rPr>
        <w:t>une</w:t>
      </w:r>
      <w:r w:rsidR="003619C1">
        <w:rPr>
          <w:rFonts w:ascii="Liberation Serif" w:eastAsia="Calibri" w:hAnsi="Liberation Serif" w:cs="Calibri"/>
          <w:sz w:val="24"/>
        </w:rPr>
        <w:t xml:space="preserve"> taxe carbone dans </w:t>
      </w:r>
      <w:r w:rsidR="003619C1">
        <w:rPr>
          <w:rFonts w:ascii="Liberation Serif" w:eastAsia="Calibri" w:hAnsi="Liberation Serif" w:cs="Calibri"/>
          <w:sz w:val="24"/>
        </w:rPr>
        <w:lastRenderedPageBreak/>
        <w:t>le court terme.</w:t>
      </w:r>
      <w:r w:rsidR="003619C1">
        <w:rPr>
          <w:rFonts w:ascii="Liberation Serif" w:eastAsia="Calibri" w:hAnsi="Liberation Serif" w:cs="Calibri"/>
          <w:sz w:val="24"/>
        </w:rPr>
        <w:t xml:space="preserve"> </w:t>
      </w:r>
      <w:r w:rsidR="003619C1">
        <w:rPr>
          <w:rFonts w:ascii="Liberation Serif" w:eastAsia="Calibri" w:hAnsi="Liberation Serif" w:cs="Calibri"/>
          <w:sz w:val="24"/>
        </w:rPr>
        <w:t>Par ailleurs, une taxe</w:t>
      </w:r>
      <w:r w:rsidR="00494EF5">
        <w:rPr>
          <w:rFonts w:ascii="Liberation Serif" w:eastAsia="Calibri" w:hAnsi="Liberation Serif" w:cs="Calibri"/>
          <w:sz w:val="24"/>
        </w:rPr>
        <w:t xml:space="preserv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de 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ce qui correspond à une hausse du prix de l’essence de 11 centimes par litre, les émissions ne seraient réduites que de 1 ou 2 %. Pour atteindre l’objectif de 40 % de réduction</w:t>
      </w:r>
      <w:r w:rsidR="003619C1">
        <w:rPr>
          <w:rFonts w:ascii="Liberation Serif" w:eastAsia="Calibri" w:hAnsi="Liberation Serif" w:cs="Calibri"/>
          <w:sz w:val="24"/>
        </w:rPr>
        <w:t xml:space="preserve"> d’ici 2030</w:t>
      </w:r>
      <w:r w:rsidR="00494EF5">
        <w:rPr>
          <w:rFonts w:ascii="Liberation Serif" w:eastAsia="Calibri" w:hAnsi="Liberation Serif" w:cs="Calibri"/>
          <w:sz w:val="24"/>
        </w:rPr>
        <w:t xml:space="preserve">, on pourrait augmenter progressivement cette taxe jusqu’à un niveau bien plus élevé, ce qui permettrait aux gens d’adapter leur comportement en anticipation de la taxe, donc sans que cela affecte </w:t>
      </w:r>
      <w:r w:rsidR="004F4A77">
        <w:rPr>
          <w:rFonts w:ascii="Liberation Serif" w:eastAsia="Calibri" w:hAnsi="Liberation Serif" w:cs="Calibri"/>
          <w:sz w:val="24"/>
        </w:rPr>
        <w:t xml:space="preserve">trop </w:t>
      </w:r>
      <w:r w:rsidR="00494EF5">
        <w:rPr>
          <w:rFonts w:ascii="Liberation Serif" w:eastAsia="Calibri" w:hAnsi="Liberation Serif" w:cs="Calibri"/>
          <w:sz w:val="24"/>
        </w:rPr>
        <w:t xml:space="preserve">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3619C1">
        <w:rPr>
          <w:rFonts w:ascii="Liberation Serif" w:eastAsia="Calibri" w:hAnsi="Liberation Serif" w:cs="Calibri"/>
          <w:sz w:val="24"/>
        </w:rPr>
        <w:t xml:space="preserve">, </w:t>
      </w:r>
      <w:r w:rsidR="00494EF5">
        <w:rPr>
          <w:rFonts w:ascii="Liberation Serif" w:eastAsia="Calibri" w:hAnsi="Liberation Serif" w:cs="Calibri"/>
          <w:sz w:val="24"/>
        </w:rPr>
        <w:t xml:space="preserve">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4846C9B7" wp14:editId="5EB53C1C">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A039CB5" wp14:editId="379FB015">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3A039CB5" wp14:editId="379FB015">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9CFD4B6" wp14:editId="65204273">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0FAE13F6" wp14:editId="24406F74">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0FAE13F6" wp14:editId="24406F74">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r w:rsidR="003619C1">
        <w:rPr>
          <w:rFonts w:ascii="Liberation Serif" w:eastAsia="Calibri" w:hAnsi="Liberation Serif" w:cs="Calibri"/>
          <w:sz w:val="24"/>
        </w:rPr>
        <w:t>Or, les répondants plébiscitent ce genre de mesures, comme le montrent les Figures 3 et 4. Ainsi, des réponses populaires au problème climatique peuvent être trouvées dans des normes plus strictes sur les nouveaux équipements, une taxation du kérosène, ou des mesures d’investissement dans les transports en commun et l’isolation des bâtiments.</w:t>
      </w:r>
      <w:bookmarkStart w:id="0" w:name="_GoBack"/>
      <w:bookmarkEnd w:id="0"/>
    </w:p>
    <w:p w:rsidR="00B1124A" w:rsidRDefault="00B1124A" w:rsidP="00256A4E">
      <w:pPr>
        <w:spacing w:after="200" w:line="276" w:lineRule="exact"/>
        <w:ind w:firstLine="709"/>
        <w:jc w:val="both"/>
        <w:rPr>
          <w:rFonts w:ascii="Liberation Serif" w:eastAsia="Calibri" w:hAnsi="Liberation Serif" w:cs="Calibri"/>
          <w:sz w:val="24"/>
        </w:rPr>
      </w:pP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r w:rsidR="009967C9">
        <w:rPr>
          <w:rFonts w:ascii="Liberation Serif" w:eastAsia="Calibri" w:hAnsi="Liberation Serif" w:cs="Calibri"/>
          <w:sz w:val="24"/>
        </w:rPr>
        <w:t xml:space="preserve"> &amp; Thomas Douenne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BEC" w:rsidRDefault="003D4BEC">
      <w:r>
        <w:separator/>
      </w:r>
    </w:p>
  </w:endnote>
  <w:endnote w:type="continuationSeparator" w:id="0">
    <w:p w:rsidR="003D4BEC" w:rsidRDefault="003D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BEC" w:rsidRDefault="003D4BEC">
      <w:r>
        <w:separator/>
      </w:r>
    </w:p>
  </w:footnote>
  <w:footnote w:type="continuationSeparator" w:id="0">
    <w:p w:rsidR="003D4BEC" w:rsidRDefault="003D4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20DF6"/>
    <w:rsid w:val="000509CE"/>
    <w:rsid w:val="00071F20"/>
    <w:rsid w:val="000825CB"/>
    <w:rsid w:val="00083213"/>
    <w:rsid w:val="000C0D8A"/>
    <w:rsid w:val="00110781"/>
    <w:rsid w:val="0011761F"/>
    <w:rsid w:val="00174D21"/>
    <w:rsid w:val="00240EBD"/>
    <w:rsid w:val="00250F01"/>
    <w:rsid w:val="00256A4E"/>
    <w:rsid w:val="002872A3"/>
    <w:rsid w:val="002A1BB7"/>
    <w:rsid w:val="002E14E9"/>
    <w:rsid w:val="002F6EBE"/>
    <w:rsid w:val="00350348"/>
    <w:rsid w:val="0035744A"/>
    <w:rsid w:val="003619C1"/>
    <w:rsid w:val="003D4BEC"/>
    <w:rsid w:val="00493B0E"/>
    <w:rsid w:val="00494EF5"/>
    <w:rsid w:val="004A30BD"/>
    <w:rsid w:val="004F4A77"/>
    <w:rsid w:val="00510AE2"/>
    <w:rsid w:val="00525F55"/>
    <w:rsid w:val="0053688A"/>
    <w:rsid w:val="005A6B91"/>
    <w:rsid w:val="005C46CE"/>
    <w:rsid w:val="005D392E"/>
    <w:rsid w:val="00666FFE"/>
    <w:rsid w:val="006714CF"/>
    <w:rsid w:val="00695F10"/>
    <w:rsid w:val="006C06B0"/>
    <w:rsid w:val="006C7A58"/>
    <w:rsid w:val="006E5DC2"/>
    <w:rsid w:val="00772F96"/>
    <w:rsid w:val="007901E8"/>
    <w:rsid w:val="007B06FA"/>
    <w:rsid w:val="007C2B88"/>
    <w:rsid w:val="007E0406"/>
    <w:rsid w:val="007E6778"/>
    <w:rsid w:val="00800A1F"/>
    <w:rsid w:val="0083065F"/>
    <w:rsid w:val="00835BBF"/>
    <w:rsid w:val="00854134"/>
    <w:rsid w:val="00877F65"/>
    <w:rsid w:val="00881A53"/>
    <w:rsid w:val="008E32BA"/>
    <w:rsid w:val="0097466E"/>
    <w:rsid w:val="00982976"/>
    <w:rsid w:val="009967C9"/>
    <w:rsid w:val="009C22BB"/>
    <w:rsid w:val="009E4FC5"/>
    <w:rsid w:val="00A33966"/>
    <w:rsid w:val="00A96938"/>
    <w:rsid w:val="00B1124A"/>
    <w:rsid w:val="00B24C8E"/>
    <w:rsid w:val="00B42A46"/>
    <w:rsid w:val="00B7113E"/>
    <w:rsid w:val="00B72371"/>
    <w:rsid w:val="00B85157"/>
    <w:rsid w:val="00C06C60"/>
    <w:rsid w:val="00C52C81"/>
    <w:rsid w:val="00CA3B82"/>
    <w:rsid w:val="00D06289"/>
    <w:rsid w:val="00D20917"/>
    <w:rsid w:val="00D40FFE"/>
    <w:rsid w:val="00D54672"/>
    <w:rsid w:val="00D942AC"/>
    <w:rsid w:val="00DD3F05"/>
    <w:rsid w:val="00E017DF"/>
    <w:rsid w:val="00E10989"/>
    <w:rsid w:val="00E173B6"/>
    <w:rsid w:val="00E46290"/>
    <w:rsid w:val="00E86495"/>
    <w:rsid w:val="00EA28FA"/>
    <w:rsid w:val="00EC76DB"/>
    <w:rsid w:val="00ED7B36"/>
    <w:rsid w:val="00EE4DEA"/>
    <w:rsid w:val="00F04064"/>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council.org/media/EconomistsStatement.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s://reseauactionclimat.org/calculateur-taxe-carbone-juste/" TargetMode="External"/><Relationship Id="rId2" Type="http://schemas.openxmlformats.org/officeDocument/2006/relationships/numbering" Target="numbering.xml"/><Relationship Id="rId16" Type="http://schemas.openxmlformats.org/officeDocument/2006/relationships/hyperlink" Target="http://www.leparisien.fr/environnement/des-ong-et-une-figure-des-gilets-jaunes-proposent-une-taxe-carbone-juste-17-11-2019-8195250.php" TargetMode="External"/><Relationship Id="rId20" Type="http://schemas.openxmlformats.org/officeDocument/2006/relationships/hyperlink" Target="http://www.cae-eco.fr/IMG/pdf/cae-note050v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ange.org/p/pour-une-baisse-des-prix-%C3%A0-la-pompe-essence-diesel" TargetMode="External"/><Relationship Id="rId23" Type="http://schemas.openxmlformats.org/officeDocument/2006/relationships/fontTable" Target="fontTable.xml"/><Relationship Id="rId10" Type="http://schemas.openxmlformats.org/officeDocument/2006/relationships/hyperlink" Target="http://www.cepremap.fr/depot/2019/11/docweb1906.pdf" TargetMode="External"/><Relationship Id="rId19" Type="http://schemas.openxmlformats.org/officeDocument/2006/relationships/hyperlink" Target="http://www.cae-eco.fr/IMG/pdf/cae-note050v2.pdf"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04A5-9AD5-4BE5-B734-6B774C60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3</Pages>
  <Words>1038</Words>
  <Characters>5454</Characters>
  <Application>Microsoft Office Word</Application>
  <DocSecurity>0</DocSecurity>
  <Lines>87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25</cp:revision>
  <dcterms:created xsi:type="dcterms:W3CDTF">2019-12-03T17:06:00Z</dcterms:created>
  <dcterms:modified xsi:type="dcterms:W3CDTF">2019-12-09T21:33:00Z</dcterms:modified>
  <dc:language>fr-FR</dc:language>
</cp:coreProperties>
</file>